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F68" w:rsidRPr="001C7F0A" w:rsidRDefault="006E2719" w:rsidP="00453C5C">
      <w:pPr>
        <w:pStyle w:val="ASRHeading1"/>
      </w:pPr>
      <w:bookmarkStart w:id="0" w:name="_Toc306703552"/>
      <w:r>
        <w:rPr>
          <w:noProof/>
          <w:lang w:val="en-AU" w:eastAsia="en-AU" w:bidi="ar-SA"/>
        </w:rPr>
        <w:drawing>
          <wp:anchor distT="0" distB="0" distL="114300" distR="114300" simplePos="0" relativeHeight="251659264" behindDoc="1" locked="0" layoutInCell="1" allowOverlap="1">
            <wp:simplePos x="0" y="0"/>
            <wp:positionH relativeFrom="column">
              <wp:posOffset>-729615</wp:posOffset>
            </wp:positionH>
            <wp:positionV relativeFrom="paragraph">
              <wp:posOffset>-805816</wp:posOffset>
            </wp:positionV>
            <wp:extent cx="6000750" cy="825817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orI.jpg"/>
                    <pic:cNvPicPr/>
                  </pic:nvPicPr>
                  <pic:blipFill>
                    <a:blip r:embed="rId8"/>
                    <a:stretch>
                      <a:fillRect/>
                    </a:stretch>
                  </pic:blipFill>
                  <pic:spPr>
                    <a:xfrm>
                      <a:off x="0" y="0"/>
                      <a:ext cx="6000750" cy="8258175"/>
                    </a:xfrm>
                    <a:prstGeom prst="rect">
                      <a:avLst/>
                    </a:prstGeom>
                  </pic:spPr>
                </pic:pic>
              </a:graphicData>
            </a:graphic>
          </wp:anchor>
        </w:drawing>
      </w:r>
      <w:r w:rsidR="00E46642">
        <w:rPr>
          <w:noProof/>
          <w:lang w:val="en-AU" w:eastAsia="en-AU" w:bidi="ar-SA"/>
        </w:rPr>
        <w:drawing>
          <wp:anchor distT="0" distB="0" distL="114300" distR="114300" simplePos="0" relativeHeight="251674624" behindDoc="0" locked="0" layoutInCell="1" allowOverlap="1">
            <wp:simplePos x="0" y="0"/>
            <wp:positionH relativeFrom="column">
              <wp:posOffset>-272547</wp:posOffset>
            </wp:positionH>
            <wp:positionV relativeFrom="paragraph">
              <wp:posOffset>-431208</wp:posOffset>
            </wp:positionV>
            <wp:extent cx="1918335" cy="567055"/>
            <wp:effectExtent l="0" t="0" r="5715" b="4445"/>
            <wp:wrapNone/>
            <wp:docPr id="1" name="Picture 1"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9" cstate="print"/>
                    <a:stretch>
                      <a:fillRect/>
                    </a:stretch>
                  </pic:blipFill>
                  <pic:spPr>
                    <a:xfrm>
                      <a:off x="0" y="0"/>
                      <a:ext cx="1918335" cy="567055"/>
                    </a:xfrm>
                    <a:prstGeom prst="rect">
                      <a:avLst/>
                    </a:prstGeom>
                  </pic:spPr>
                </pic:pic>
              </a:graphicData>
            </a:graphic>
          </wp:anchor>
        </w:drawing>
      </w:r>
      <w:r w:rsidR="003E5634">
        <w:rPr>
          <w:noProof/>
          <w:lang w:val="en-AU" w:eastAsia="en-AU" w:bidi="ar-SA"/>
        </w:rPr>
        <w:pict>
          <v:rect id="Rectangle 4" o:spid="_x0000_s1030" style="position:absolute;left:0;text-align:left;margin-left:382.05pt;margin-top:.2pt;width:216.55pt;height:842.1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" fillcolor="#943634" stroked="f">
            <o:lock v:ext="edit" aspectratio="t"/>
            <w10:wrap anchorx="page" anchory="page"/>
          </v:rect>
        </w:pict>
      </w:r>
      <w:bookmarkEnd w:id="0"/>
    </w:p>
    <w:p w:rsidR="00104F68" w:rsidRPr="00FD59D8" w:rsidRDefault="003E5634" w:rsidP="00AA04DC">
      <w:r>
        <w:rPr>
          <w:noProof/>
          <w:lang w:val="en-AU" w:eastAsia="en-AU" w:bidi="ar-SA"/>
        </w:rPr>
        <w:pict>
          <v:shapetype id="_x0000_t202" coordsize="21600,21600" o:spt="202" path="m,l,21600r21600,l21600,xe">
            <v:stroke joinstyle="miter"/>
            <v:path gradientshapeok="t" o:connecttype="rect"/>
          </v:shapetype>
          <v:shape id="Text Box 420" o:spid="_x0000_s1026" type="#_x0000_t202" style="position:absolute;margin-left:382.4pt;margin-top:93.75pt;width:211.3pt;height:90.75pt;z-index:251670528;visibility:visible;mso-wrap-distance-left:.2mm;mso-position-horizontal-relative:page;mso-position-vertical-relative:page" wrapcoords="-77 -263 -77 22127 21677 22127 21677 -263 -77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Q8sAIAAKw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" fillcolor="#c2d69b [1942]" strokecolor="yellow" strokeweight="1pt">
            <v:fill color2="#9bbb59 [3206]" focusposition=".5,.5" focussize="" focus="50%" type="gradient"/>
            <v:shadow on="t" type="perspective" color="#4e6128 [1606]" offset="1pt" offset2="-3pt"/>
            <v:textbox inset="0,0,0,0">
              <w:txbxContent>
                <w:p w:rsidR="007B1A62" w:rsidRPr="008E6DD9" w:rsidRDefault="007B1A62" w:rsidP="00104F68">
                  <w:pPr>
                    <w:pStyle w:val="ListBullet"/>
                    <w:numPr>
                      <w:ilvl w:val="0"/>
                      <w:numId w:val="0"/>
                    </w:numPr>
                    <w:spacing w:line="760" w:lineRule="exact"/>
                    <w:jc w:val="center"/>
                    <w:rPr>
                      <w:rFonts w:cstheme="minorHAnsi"/>
                      <w:color w:val="FFFFFF" w:themeColor="background1"/>
                      <w:kern w:val="36"/>
                      <w:sz w:val="32"/>
                      <w:szCs w:val="32"/>
                      <w:lang w:val="en-AU"/>
                    </w:rPr>
                  </w:pPr>
                  <w:bookmarkStart w:id="1" w:name="_GoBack"/>
                  <w:bookmarkEnd w:id="1"/>
                  <w:r>
                    <w:rPr>
                      <w:rFonts w:cstheme="minorHAnsi"/>
                      <w:color w:val="FFFFFF" w:themeColor="background1"/>
                      <w:kern w:val="36"/>
                      <w:sz w:val="32"/>
                      <w:szCs w:val="32"/>
                      <w:lang w:val="en-AU"/>
                    </w:rPr>
                    <w:t>1246</w:t>
                  </w:r>
                </w:p>
              </w:txbxContent>
            </v:textbox>
            <w10:wrap type="tight" anchorx="page" anchory="page"/>
          </v:shape>
        </w:pict>
      </w:r>
      <w:r>
        <w:rPr>
          <w:noProof/>
          <w:lang w:val="en-AU" w:eastAsia="en-AU" w:bidi="ar-SA"/>
        </w:rPr>
        <w:pict>
          <v:rect id="Rectangle 7" o:spid="_x0000_s1027" style="position:absolute;margin-left:0;margin-top:93.75pt;width:382.45pt;height:90.7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" fillcolor="white [3212]" stroked="f" strokecolor="#4a7ebb" strokeweight="1.5pt">
            <v:shadow opacity="22938f" offset="0"/>
            <v:textbox style="mso-next-textbox:#Rectangle 7" inset=",7.2pt,,7.2pt">
              <w:txbxContent>
                <w:p w:rsidR="007B1A62" w:rsidRPr="00100591" w:rsidRDefault="007B1A62" w:rsidP="007F5F4B">
                  <w:pPr>
                    <w:pStyle w:val="ListBullet"/>
                    <w:numPr>
                      <w:ilvl w:val="0"/>
                      <w:numId w:val="0"/>
                    </w:numPr>
                    <w:spacing w:line="680" w:lineRule="exact"/>
                    <w:ind w:left="426"/>
                    <w:rPr>
                      <w:rFonts w:ascii="Helvetica Neue Light" w:hAnsi="Helvetica Neue Light"/>
                      <w:kern w:val="36"/>
                      <w:sz w:val="56"/>
                    </w:rPr>
                  </w:pPr>
                  <w:r>
                    <w:rPr>
                      <w:rFonts w:ascii="Helvetica Neue Light" w:hAnsi="Helvetica Neue Light"/>
                      <w:kern w:val="36"/>
                      <w:sz w:val="56"/>
                    </w:rPr>
                    <w:t>Blackheath Public School</w:t>
                  </w:r>
                </w:p>
                <w:p w:rsidR="007B1A62" w:rsidRDefault="007B1A62" w:rsidP="007F5F4B">
                  <w:pPr>
                    <w:spacing w:before="120"/>
                    <w:ind w:left="426"/>
                  </w:pPr>
                  <w:r w:rsidRPr="00C76CD2">
                    <w:rPr>
                      <w:rFonts w:ascii="Helvetica Neue Light" w:hAnsi="Helvetica Neue Light"/>
                      <w:color w:val="C00000"/>
                      <w:kern w:val="36"/>
                      <w:sz w:val="56"/>
                    </w:rPr>
                    <w:t xml:space="preserve">Annual </w:t>
                  </w:r>
                  <w:r>
                    <w:rPr>
                      <w:rFonts w:ascii="Helvetica Neue Light" w:hAnsi="Helvetica Neue Light"/>
                      <w:color w:val="C00000"/>
                      <w:kern w:val="36"/>
                      <w:sz w:val="56"/>
                    </w:rPr>
                    <w:t xml:space="preserve">School </w:t>
                  </w:r>
                  <w:r w:rsidRPr="00C76CD2">
                    <w:rPr>
                      <w:rFonts w:ascii="Helvetica Neue Light" w:hAnsi="Helvetica Neue Light"/>
                      <w:color w:val="C00000"/>
                      <w:kern w:val="36"/>
                      <w:sz w:val="56"/>
                    </w:rPr>
                    <w:t>Report</w:t>
                  </w:r>
                </w:p>
              </w:txbxContent>
            </v:textbox>
            <w10:wrap anchorx="page" anchory="page"/>
          </v:rect>
        </w:pict>
      </w:r>
      <w:r w:rsidR="006E2719">
        <w:rPr>
          <w:noProof/>
          <w:lang w:val="en-AU" w:eastAsia="en-AU" w:bidi="ar-SA"/>
        </w:rPr>
        <w:drawing>
          <wp:anchor distT="0" distB="0" distL="114300" distR="114300" simplePos="0" relativeHeight="251673600" behindDoc="0" locked="0" layoutInCell="1" allowOverlap="1">
            <wp:simplePos x="0" y="0"/>
            <wp:positionH relativeFrom="column">
              <wp:posOffset>-729616</wp:posOffset>
            </wp:positionH>
            <wp:positionV relativeFrom="paragraph">
              <wp:posOffset>6939915</wp:posOffset>
            </wp:positionV>
            <wp:extent cx="4867275" cy="266700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0" cstate="print"/>
                    <a:stretch>
                      <a:fillRect/>
                    </a:stretch>
                  </pic:blipFill>
                  <pic:spPr>
                    <a:xfrm>
                      <a:off x="0" y="0"/>
                      <a:ext cx="4874448" cy="2670930"/>
                    </a:xfrm>
                    <a:prstGeom prst="rect">
                      <a:avLst/>
                    </a:prstGeom>
                  </pic:spPr>
                </pic:pic>
              </a:graphicData>
            </a:graphic>
          </wp:anchor>
        </w:drawing>
      </w:r>
      <w:r w:rsidR="006E2719">
        <w:rPr>
          <w:noProof/>
          <w:lang w:val="en-AU" w:eastAsia="en-AU" w:bidi="ar-SA"/>
        </w:rPr>
        <w:drawing>
          <wp:anchor distT="0" distB="0" distL="114300" distR="114300" simplePos="0" relativeHeight="251671552" behindDoc="0" locked="0" layoutInCell="1" allowOverlap="1">
            <wp:simplePos x="0" y="0"/>
            <wp:positionH relativeFrom="column">
              <wp:posOffset>4907311</wp:posOffset>
            </wp:positionH>
            <wp:positionV relativeFrom="paragraph">
              <wp:posOffset>7922863</wp:posOffset>
            </wp:positionV>
            <wp:extent cx="1340999" cy="1539303"/>
            <wp:effectExtent l="114300" t="0" r="106801"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x.jpg"/>
                    <pic:cNvPicPr/>
                  </pic:nvPicPr>
                  <pic:blipFill>
                    <a:blip r:embed="rId11"/>
                    <a:stretch>
                      <a:fillRect/>
                    </a:stretch>
                  </pic:blipFill>
                  <pic:spPr>
                    <a:xfrm rot="16200000">
                      <a:off x="0" y="0"/>
                      <a:ext cx="1342103" cy="1540570"/>
                    </a:xfrm>
                    <a:prstGeom prst="rect">
                      <a:avLst/>
                    </a:prstGeom>
                  </pic:spPr>
                </pic:pic>
              </a:graphicData>
            </a:graphic>
          </wp:anchor>
        </w:drawing>
      </w:r>
      <w:r>
        <w:rPr>
          <w:noProof/>
          <w:lang w:val="en-AU" w:eastAsia="en-AU" w:bidi="ar-SA"/>
        </w:rPr>
        <w:pict>
          <v:shape id="Text Box 2" o:spid="_x0000_s1028" type="#_x0000_t202" alt="Description: Description: Description: 90%" style="position:absolute;margin-left:361.5pt;margin-top:256.95pt;width:207.3pt;height:446.7pt;z-index:251660288;visibility:visible;mso-position-horizontal-relative:page;mso-position-vertical-relative:page" wrapcoords="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" filled="f" stroked="f">
            <v:fill r:id="rId12" o:title=" 90%" recolor="t" type="tile"/>
            <v:textbox style="layout-flow:vertical;mso-layout-flow-alt:bottom-to-top;mso-next-textbox:#Text Box 2" inset="7mm,2mm,0,8mm">
              <w:txbxContent>
                <w:p w:rsidR="007B1A62" w:rsidRPr="006D1447" w:rsidRDefault="007B1A62" w:rsidP="009974E3">
                  <w:pPr>
                    <w:jc w:val="right"/>
                    <w:rPr>
                      <w:rFonts w:ascii="Helvetica Neue UltraLight" w:hAnsi="Helvetica Neue UltraLight"/>
                      <w:color w:val="FFFFFF"/>
                      <w:kern w:val="24"/>
                      <w:sz w:val="360"/>
                    </w:rPr>
                  </w:pPr>
                  <w:r w:rsidRPr="006D1447">
                    <w:rPr>
                      <w:rFonts w:ascii="Helvetica Neue UltraLight" w:hAnsi="Helvetica Neue UltraLight"/>
                      <w:color w:val="FFFFFF"/>
                      <w:spacing w:val="60"/>
                      <w:kern w:val="24"/>
                      <w:sz w:val="360"/>
                    </w:rPr>
                    <w:t>2</w:t>
                  </w:r>
                  <w:r w:rsidRPr="006D1447">
                    <w:rPr>
                      <w:rFonts w:ascii="Helvetica Neue UltraLight" w:hAnsi="Helvetica Neue UltraLight"/>
                      <w:color w:val="FFFFFF"/>
                      <w:spacing w:val="-40"/>
                      <w:kern w:val="24"/>
                      <w:sz w:val="360"/>
                    </w:rPr>
                    <w:t>0</w:t>
                  </w:r>
                  <w:r w:rsidRPr="006D1447">
                    <w:rPr>
                      <w:rFonts w:ascii="Helvetica Neue UltraLight" w:hAnsi="Helvetica Neue UltraLight"/>
                      <w:color w:val="FFFFFF"/>
                      <w:spacing w:val="-160"/>
                      <w:kern w:val="24"/>
                      <w:sz w:val="360"/>
                    </w:rPr>
                    <w:t>11</w:t>
                  </w:r>
                </w:p>
              </w:txbxContent>
            </v:textbox>
            <w10:wrap type="tight" anchorx="page" anchory="page"/>
          </v:shape>
        </w:pict>
      </w:r>
      <w:r w:rsidR="00104F68" w:rsidRPr="00FD59D8">
        <w:br w:type="page"/>
      </w:r>
    </w:p>
    <w:p w:rsidR="009974E3" w:rsidRPr="009921BE" w:rsidRDefault="009974E3" w:rsidP="00453C5C">
      <w:pPr>
        <w:pStyle w:val="ASRHeading1"/>
        <w:rPr>
          <w:sz w:val="22"/>
          <w:szCs w:val="22"/>
        </w:rPr>
      </w:pPr>
      <w:bookmarkStart w:id="2" w:name="_Toc306703553"/>
      <w:r w:rsidRPr="00F87176">
        <w:lastRenderedPageBreak/>
        <w:t>Our school at a glance</w:t>
      </w:r>
      <w:bookmarkEnd w:id="2"/>
    </w:p>
    <w:p w:rsidR="009974E3" w:rsidRPr="009921BE" w:rsidRDefault="009974E3" w:rsidP="00F87176">
      <w:pPr>
        <w:pStyle w:val="ASRHeading2"/>
        <w:jc w:val="center"/>
        <w:outlineLvl w:val="1"/>
        <w:rPr>
          <w:sz w:val="22"/>
        </w:rPr>
      </w:pPr>
      <w:bookmarkStart w:id="3" w:name="_Toc306703554"/>
      <w:r w:rsidRPr="009921BE">
        <w:rPr>
          <w:sz w:val="22"/>
        </w:rPr>
        <w:t>Students</w:t>
      </w:r>
      <w:bookmarkEnd w:id="3"/>
    </w:p>
    <w:p w:rsidR="00516D64" w:rsidRPr="009921BE" w:rsidRDefault="00516D64" w:rsidP="00516D64">
      <w:pPr>
        <w:pStyle w:val="ASRBodyText"/>
        <w:rPr>
          <w:rFonts w:cs="Arial"/>
        </w:rPr>
      </w:pPr>
      <w:r w:rsidRPr="009921BE">
        <w:rPr>
          <w:rFonts w:cs="Arial"/>
        </w:rPr>
        <w:t>The school enrolment of 291 at the end of 2011 indicates a ri</w:t>
      </w:r>
      <w:r w:rsidR="00544EE1">
        <w:rPr>
          <w:rFonts w:cs="Arial"/>
        </w:rPr>
        <w:t>se in total enrolments from 2010</w:t>
      </w:r>
      <w:r w:rsidRPr="009921BE">
        <w:rPr>
          <w:rFonts w:cs="Arial"/>
        </w:rPr>
        <w:t>. The enrolment comprised of 153 girls and 138 boys. It is anticipated that enrolments will increase slightly in 2012 with an expected kindergarten enrolment of 52 students and 25 year 6 students graduating at the end of 2011.</w:t>
      </w:r>
    </w:p>
    <w:p w:rsidR="00516D64" w:rsidRPr="009921BE" w:rsidRDefault="00516D64" w:rsidP="00516D64">
      <w:pPr>
        <w:pStyle w:val="ASRBodyText"/>
        <w:rPr>
          <w:rFonts w:cs="Arial"/>
        </w:rPr>
      </w:pPr>
      <w:r w:rsidRPr="009921BE">
        <w:rPr>
          <w:rFonts w:cs="Arial"/>
        </w:rPr>
        <w:t>A small number of students identify as Aboriginal.</w:t>
      </w:r>
    </w:p>
    <w:p w:rsidR="00516D64" w:rsidRPr="009921BE" w:rsidRDefault="00516D64" w:rsidP="00516D64">
      <w:pPr>
        <w:pStyle w:val="ASRBodyText"/>
        <w:rPr>
          <w:rFonts w:cs="Arial"/>
        </w:rPr>
      </w:pPr>
      <w:r w:rsidRPr="009921BE">
        <w:rPr>
          <w:rFonts w:cs="Arial"/>
        </w:rPr>
        <w:t>It is a requirement that the reporting of information for all staff must be consistent with privacy and personal information policies.</w:t>
      </w:r>
    </w:p>
    <w:p w:rsidR="00516D64" w:rsidRPr="009921BE" w:rsidRDefault="00516D64" w:rsidP="009921BE">
      <w:pPr>
        <w:pStyle w:val="ASRHeading2"/>
        <w:jc w:val="center"/>
        <w:rPr>
          <w:sz w:val="22"/>
        </w:rPr>
      </w:pPr>
      <w:bookmarkStart w:id="4" w:name="_Toc306703560"/>
      <w:r w:rsidRPr="009921BE">
        <w:rPr>
          <w:sz w:val="22"/>
        </w:rPr>
        <w:t>Principal’s message</w:t>
      </w:r>
    </w:p>
    <w:sdt>
      <w:sdtPr>
        <w:rPr>
          <w:rFonts w:cs="Arial"/>
        </w:rPr>
        <w:id w:val="13275024"/>
        <w:placeholder>
          <w:docPart w:val="F7F7E965A22E4EAF909D7A1A747E0875"/>
        </w:placeholder>
        <w:text/>
      </w:sdtPr>
      <w:sdtContent>
        <w:p w:rsidR="00516D64" w:rsidRPr="009921BE" w:rsidRDefault="00516D64" w:rsidP="00516D64">
          <w:pPr>
            <w:pStyle w:val="ASRBodyText"/>
            <w:rPr>
              <w:rFonts w:cs="Arial"/>
            </w:rPr>
          </w:pPr>
          <w:r w:rsidRPr="009921BE">
            <w:rPr>
              <w:rFonts w:cs="Arial"/>
            </w:rPr>
            <w:t>It gives me great pleasure to present the 2011 Annual School report for Blackheath Public School. I would like to acknowledge the traditional owners of the land the Darug and Gundungarra people.</w:t>
          </w:r>
        </w:p>
      </w:sdtContent>
    </w:sdt>
    <w:p w:rsidR="00516D64" w:rsidRPr="009921BE" w:rsidRDefault="00516D64" w:rsidP="00516D64">
      <w:pPr>
        <w:pStyle w:val="ASRBodyText"/>
        <w:rPr>
          <w:rFonts w:cs="Arial"/>
        </w:rPr>
      </w:pPr>
      <w:r w:rsidRPr="009921BE">
        <w:rPr>
          <w:rFonts w:cs="Arial"/>
        </w:rPr>
        <w:t>Blackheath Public School is very much a community school that has enormous community participation and is committed to quality teaching and learning and actively strives for excellence in all areas of school endeavour. The outstanding parent and community support given to the school is a mark of the calibre of all people who are involved across our school.  I personally thank all individuals and express my appreciation for their commitment to our community school. The combined efforts of an enthusiastic, dedicated staff and a hardworking, supportive community allow this report to highlight many successes that have occurred during 2011.</w:t>
      </w:r>
    </w:p>
    <w:p w:rsidR="00516D64" w:rsidRPr="009921BE" w:rsidRDefault="00516D64" w:rsidP="00516D64">
      <w:pPr>
        <w:pStyle w:val="ASRBodyText"/>
        <w:rPr>
          <w:rFonts w:cs="Arial"/>
        </w:rPr>
      </w:pPr>
      <w:r w:rsidRPr="009921BE">
        <w:rPr>
          <w:rFonts w:cs="Arial"/>
        </w:rPr>
        <w:t>Our school motto is ‘Strive with honour’ and this underpins all aspects of school life at Blackheath Public School. All students are expected to be active and responsible learners in order that they realise their potential as contributing members of an ever-changing society and to develop a strong sense of individual worth.</w:t>
      </w:r>
    </w:p>
    <w:p w:rsidR="00516D64" w:rsidRPr="009921BE" w:rsidRDefault="00516D64" w:rsidP="00516D64">
      <w:pPr>
        <w:pStyle w:val="ASRBodyText"/>
        <w:rPr>
          <w:rFonts w:cs="Arial"/>
        </w:rPr>
      </w:pPr>
      <w:r w:rsidRPr="009921BE">
        <w:rPr>
          <w:rFonts w:cs="Arial"/>
        </w:rPr>
        <w:t>I certify that the information in this report is the result of a rigorous school self-evaluation process and is a balanced and genuine account of the school’s achievements and areas for development.</w:t>
      </w:r>
    </w:p>
    <w:p w:rsidR="00516D64" w:rsidRPr="009921BE" w:rsidRDefault="00516D64" w:rsidP="00516D64">
      <w:pPr>
        <w:pStyle w:val="ASRBodyText"/>
        <w:rPr>
          <w:b/>
        </w:rPr>
      </w:pPr>
      <w:r w:rsidRPr="009921BE">
        <w:rPr>
          <w:b/>
        </w:rPr>
        <w:t>Mark Rudd</w:t>
      </w:r>
    </w:p>
    <w:p w:rsidR="00516D64" w:rsidRPr="009921BE" w:rsidRDefault="00516D64" w:rsidP="00516D64">
      <w:pPr>
        <w:pStyle w:val="ASRBodyText"/>
        <w:rPr>
          <w:b/>
        </w:rPr>
      </w:pPr>
      <w:r w:rsidRPr="009921BE">
        <w:rPr>
          <w:b/>
        </w:rPr>
        <w:t>Principal</w:t>
      </w:r>
    </w:p>
    <w:p w:rsidR="00BB1366" w:rsidRPr="009921BE" w:rsidRDefault="00BB1366" w:rsidP="00845595">
      <w:pPr>
        <w:pStyle w:val="ASRHeading2"/>
        <w:outlineLvl w:val="1"/>
        <w:rPr>
          <w:sz w:val="22"/>
        </w:rPr>
      </w:pPr>
      <w:r w:rsidRPr="009921BE">
        <w:rPr>
          <w:sz w:val="22"/>
        </w:rPr>
        <w:lastRenderedPageBreak/>
        <w:t>P &amp; C message</w:t>
      </w:r>
    </w:p>
    <w:p w:rsidR="00BB1366" w:rsidRPr="009921BE" w:rsidRDefault="00BB1366" w:rsidP="00BB1366"/>
    <w:p w:rsidR="00BB1366" w:rsidRPr="009921BE" w:rsidRDefault="00BB1366" w:rsidP="00BB1366">
      <w:pPr>
        <w:rPr>
          <w:rFonts w:cs="Arial"/>
        </w:rPr>
      </w:pPr>
      <w:r w:rsidRPr="009921BE">
        <w:rPr>
          <w:rFonts w:cs="Arial"/>
        </w:rPr>
        <w:t xml:space="preserve">2011 was a successful year for BPS P&amp;C with service to the school and fundraising continuing as the main themes for the year. </w:t>
      </w:r>
    </w:p>
    <w:p w:rsidR="00BB1366" w:rsidRPr="009921BE" w:rsidRDefault="00BB1366" w:rsidP="00BB1366">
      <w:pPr>
        <w:rPr>
          <w:rFonts w:cs="Arial"/>
        </w:rPr>
      </w:pPr>
      <w:r w:rsidRPr="009921BE">
        <w:rPr>
          <w:rFonts w:cs="Arial"/>
        </w:rPr>
        <w:t>The Wholesome Kids Café is open 5 days per week using paid staff and providing wholesome home cooked meals to children and staff. The Café also does outside catering when it can be fitted in with the school schedule. The uniform shop has reduced lines available to reduce the amount of capital tied up in stock, concentrating mainly on stock that is Austr</w:t>
      </w:r>
      <w:r w:rsidR="00CC3F2B">
        <w:rPr>
          <w:rFonts w:cs="Arial"/>
        </w:rPr>
        <w:t>alian made.  The Garden Club had</w:t>
      </w:r>
      <w:r w:rsidRPr="009921BE">
        <w:rPr>
          <w:rFonts w:cs="Arial"/>
        </w:rPr>
        <w:t xml:space="preserve"> a new coordinator for 2011. Chris Hill-Butler continues the supervision of the vegetable garden and native area, and expanded gardening to other areas of the school. </w:t>
      </w:r>
    </w:p>
    <w:p w:rsidR="00BB1366" w:rsidRPr="009921BE" w:rsidRDefault="00BB1366" w:rsidP="00BB1366">
      <w:pPr>
        <w:rPr>
          <w:rFonts w:cs="Arial"/>
        </w:rPr>
      </w:pPr>
      <w:r w:rsidRPr="009921BE">
        <w:rPr>
          <w:rFonts w:cs="Arial"/>
        </w:rPr>
        <w:t xml:space="preserve">In keeping with our commitment to improving the learning environment at BPS a new project was launched this year.  The P&amp;C has undertaken to paint the outside of the Hall with the children’s artwork, depicting native plants and animals. This work is being undertaken in consultation with the staff and under the direction of local artist Jenny Kee. </w:t>
      </w:r>
    </w:p>
    <w:p w:rsidR="00BB1366" w:rsidRPr="009921BE" w:rsidRDefault="00BB1366" w:rsidP="00BB1366">
      <w:pPr>
        <w:rPr>
          <w:rFonts w:cs="Arial"/>
        </w:rPr>
      </w:pPr>
      <w:r w:rsidRPr="009921BE">
        <w:rPr>
          <w:rFonts w:cs="Arial"/>
        </w:rPr>
        <w:t>Fundraising was begun for the year with an Election Day raffle and continued with Mother’s and Father’s Day stalls, School Disco, family photos, a Darnell Collection fashion parade and a Hall Mural Fundraiser.</w:t>
      </w:r>
    </w:p>
    <w:p w:rsidR="00BB1366" w:rsidRPr="009921BE" w:rsidRDefault="00BB1366" w:rsidP="00BB1366">
      <w:pPr>
        <w:rPr>
          <w:rFonts w:cs="Arial"/>
        </w:rPr>
      </w:pPr>
      <w:r w:rsidRPr="009921BE">
        <w:rPr>
          <w:rFonts w:cs="Arial"/>
        </w:rPr>
        <w:t>The Community Markets is an ongoing fundraiser for the P&amp;C with funds coming from stallholder fees and the BBQ. This year the Markets gained a new coordinator –Marina Brown – and the Markets have gone from strength to strength under Marina’s guidance, maintaining the home grown, handmade, local and recyclable ethic. It’s a great little Market.</w:t>
      </w:r>
    </w:p>
    <w:p w:rsidR="00BB1366" w:rsidRPr="009921BE" w:rsidRDefault="00BB1366" w:rsidP="00BB1366">
      <w:pPr>
        <w:rPr>
          <w:rFonts w:cs="Arial"/>
        </w:rPr>
      </w:pPr>
      <w:r w:rsidRPr="009921BE">
        <w:rPr>
          <w:rFonts w:cs="Arial"/>
        </w:rPr>
        <w:t xml:space="preserve">The P&amp;C was successful in applying for a Coles Junior Landcare Grant of $1000. This was used to plant an endangered species - the Wollemi pine, </w:t>
      </w:r>
      <w:r w:rsidRPr="009921BE">
        <w:rPr>
          <w:rFonts w:cs="Arial"/>
        </w:rPr>
        <w:lastRenderedPageBreak/>
        <w:t xml:space="preserve">one for each classroom, establishing a prehistoric forest. </w:t>
      </w:r>
    </w:p>
    <w:p w:rsidR="00BB1366" w:rsidRPr="009921BE" w:rsidRDefault="00BB1366" w:rsidP="00BB1366">
      <w:pPr>
        <w:rPr>
          <w:rFonts w:cs="Arial"/>
          <w:lang w:val="en-AU"/>
        </w:rPr>
      </w:pPr>
      <w:r w:rsidRPr="009921BE">
        <w:rPr>
          <w:rFonts w:cs="Arial"/>
          <w:lang w:val="en-AU"/>
        </w:rPr>
        <w:t xml:space="preserve">We contribute to HATT (Hubs at the Top) a network of community service providers who run a playgroup and a playgym at BPS. </w:t>
      </w:r>
    </w:p>
    <w:p w:rsidR="00BB1366" w:rsidRPr="009921BE" w:rsidRDefault="00BB1366" w:rsidP="00BB1366">
      <w:pPr>
        <w:rPr>
          <w:rFonts w:cs="Arial"/>
          <w:lang w:val="en-AU"/>
        </w:rPr>
      </w:pPr>
      <w:r w:rsidRPr="009921BE">
        <w:rPr>
          <w:rFonts w:cs="Arial"/>
          <w:lang w:val="en-AU"/>
        </w:rPr>
        <w:t>The COUGH campaign was successful in achieving our aim of flued gas heaters in our classrooms. Only 101 schools received the new heaters so the P&amp;C continues with involvement in COUGH aiming to achieve a rollout of flued gas heaters across the state.</w:t>
      </w:r>
    </w:p>
    <w:p w:rsidR="00BB1366" w:rsidRPr="009921BE" w:rsidRDefault="00BB1366" w:rsidP="00BB1366">
      <w:pPr>
        <w:rPr>
          <w:rFonts w:cs="Arial"/>
          <w:lang w:val="en-AU"/>
        </w:rPr>
      </w:pPr>
      <w:r w:rsidRPr="009921BE">
        <w:rPr>
          <w:rFonts w:cs="Arial"/>
          <w:lang w:val="en-AU"/>
        </w:rPr>
        <w:t>Liz Riley</w:t>
      </w:r>
    </w:p>
    <w:p w:rsidR="00BB1366" w:rsidRPr="009921BE" w:rsidRDefault="00BB1366" w:rsidP="00BB1366">
      <w:pPr>
        <w:rPr>
          <w:rFonts w:cs="Arial"/>
        </w:rPr>
      </w:pPr>
      <w:r w:rsidRPr="009921BE">
        <w:rPr>
          <w:rFonts w:cs="Arial"/>
          <w:lang w:val="en-AU"/>
        </w:rPr>
        <w:t>P&amp;C President</w:t>
      </w:r>
    </w:p>
    <w:p w:rsidR="009974E3" w:rsidRPr="009921BE" w:rsidRDefault="009974E3" w:rsidP="00FD59D8">
      <w:pPr>
        <w:pStyle w:val="ASRHeading2"/>
        <w:outlineLvl w:val="1"/>
        <w:rPr>
          <w:sz w:val="22"/>
        </w:rPr>
      </w:pPr>
      <w:bookmarkStart w:id="5" w:name="_Toc306703561"/>
      <w:bookmarkEnd w:id="4"/>
      <w:r w:rsidRPr="009921BE">
        <w:rPr>
          <w:sz w:val="22"/>
        </w:rPr>
        <w:t>Student representative’s message</w:t>
      </w:r>
      <w:bookmarkEnd w:id="5"/>
    </w:p>
    <w:p w:rsidR="00E93851" w:rsidRDefault="00E93851" w:rsidP="00E27CE0">
      <w:pPr>
        <w:rPr>
          <w:b/>
          <w:color w:val="000000" w:themeColor="text1"/>
        </w:rPr>
      </w:pPr>
    </w:p>
    <w:p w:rsidR="00E27CE0" w:rsidRPr="009921BE" w:rsidRDefault="00E27CE0" w:rsidP="00E27CE0">
      <w:pPr>
        <w:rPr>
          <w:lang w:val="en-AU"/>
        </w:rPr>
      </w:pPr>
      <w:r w:rsidRPr="009921BE">
        <w:rPr>
          <w:lang w:val="en-AU"/>
        </w:rPr>
        <w:t xml:space="preserve">I started school at Blackheath in 2008 when I was in Year 3.  I was pretty nervous and scared about being in a new school but it didn’t take long to settle in and feel as though I belonged. </w:t>
      </w:r>
    </w:p>
    <w:p w:rsidR="00E27CE0" w:rsidRPr="009921BE" w:rsidRDefault="00E27CE0" w:rsidP="00E27CE0">
      <w:pPr>
        <w:rPr>
          <w:lang w:val="en-AU"/>
        </w:rPr>
      </w:pPr>
      <w:r w:rsidRPr="009921BE">
        <w:rPr>
          <w:lang w:val="en-AU"/>
        </w:rPr>
        <w:t xml:space="preserve">The first thing I noticed about B.P.S was the canteen. It always smells </w:t>
      </w:r>
      <w:r w:rsidRPr="009921BE">
        <w:rPr>
          <w:b/>
          <w:i/>
          <w:lang w:val="en-AU"/>
        </w:rPr>
        <w:t>so</w:t>
      </w:r>
      <w:r w:rsidRPr="009921BE">
        <w:rPr>
          <w:lang w:val="en-AU"/>
        </w:rPr>
        <w:t xml:space="preserve"> good and it’s open every day! We are lucky to have Jody and Kobe at our school, providing home cooked, wholesome meals. Using fresh produce from our wonderful vegie garden makes it even more special.</w:t>
      </w:r>
    </w:p>
    <w:p w:rsidR="00E27CE0" w:rsidRPr="009921BE" w:rsidRDefault="00E27CE0" w:rsidP="00E27CE0">
      <w:pPr>
        <w:rPr>
          <w:lang w:val="en-AU"/>
        </w:rPr>
      </w:pPr>
      <w:r w:rsidRPr="009921BE">
        <w:rPr>
          <w:lang w:val="en-AU"/>
        </w:rPr>
        <w:t xml:space="preserve">We have exceptional teachers at BPS. They are not only dedicated to providing top quality education; they have given us as students a sense of community and pride in our great school as well as introducing us to a wide range of extra-curricular activities like sport, music, debating, science, dance, art and drama. </w:t>
      </w:r>
    </w:p>
    <w:p w:rsidR="00E27CE0" w:rsidRPr="009921BE" w:rsidRDefault="00E27CE0" w:rsidP="00E27CE0">
      <w:pPr>
        <w:rPr>
          <w:lang w:val="en-AU"/>
        </w:rPr>
      </w:pPr>
      <w:r w:rsidRPr="009921BE">
        <w:rPr>
          <w:lang w:val="en-AU"/>
        </w:rPr>
        <w:t xml:space="preserve"> No matter what the students graduating in 2011 end up doing, I know they’ll become happy, confident, well-rounded adults thanks to the excellent grounding they’ve had here at BPS. </w:t>
      </w:r>
    </w:p>
    <w:p w:rsidR="00E27CE0" w:rsidRPr="009921BE" w:rsidRDefault="00E27CE0" w:rsidP="00E27CE0">
      <w:pPr>
        <w:rPr>
          <w:lang w:val="en-AU"/>
        </w:rPr>
      </w:pPr>
      <w:r w:rsidRPr="009921BE">
        <w:rPr>
          <w:lang w:val="en-AU"/>
        </w:rPr>
        <w:t xml:space="preserve">It’s been a great honour and privilege being BPS female school captain in 2011.  I know that Phoebe, Troy and the rest of the leadership team </w:t>
      </w:r>
      <w:r w:rsidRPr="009921BE">
        <w:rPr>
          <w:lang w:val="en-AU"/>
        </w:rPr>
        <w:lastRenderedPageBreak/>
        <w:t>will do an awesome job in 2012 and keep the spirit of the school alive.</w:t>
      </w:r>
    </w:p>
    <w:p w:rsidR="00E27CE0" w:rsidRPr="009921BE" w:rsidRDefault="00E27CE0" w:rsidP="00FD59D8">
      <w:pPr>
        <w:pStyle w:val="ASRHeading2"/>
        <w:outlineLvl w:val="1"/>
        <w:rPr>
          <w:sz w:val="22"/>
        </w:rPr>
      </w:pPr>
      <w:r w:rsidRPr="009921BE">
        <w:rPr>
          <w:sz w:val="22"/>
        </w:rPr>
        <w:t>Amy Nelson School Captain</w:t>
      </w:r>
    </w:p>
    <w:p w:rsidR="009921BE" w:rsidRDefault="009921BE" w:rsidP="00453C5C">
      <w:pPr>
        <w:pStyle w:val="ASRHeading1"/>
      </w:pPr>
      <w:bookmarkStart w:id="6" w:name="_Toc306703562"/>
    </w:p>
    <w:p w:rsidR="009974E3" w:rsidRPr="009921BE" w:rsidRDefault="009974E3" w:rsidP="00453C5C">
      <w:pPr>
        <w:pStyle w:val="ASRHeading1"/>
      </w:pPr>
      <w:r w:rsidRPr="009921BE">
        <w:t>School context</w:t>
      </w:r>
      <w:bookmarkEnd w:id="6"/>
    </w:p>
    <w:p w:rsidR="009974E3" w:rsidRPr="009921BE" w:rsidRDefault="009974E3" w:rsidP="00F87176">
      <w:pPr>
        <w:pStyle w:val="ASRHeading2"/>
        <w:jc w:val="center"/>
        <w:outlineLvl w:val="1"/>
        <w:rPr>
          <w:sz w:val="22"/>
        </w:rPr>
      </w:pPr>
      <w:bookmarkStart w:id="7" w:name="_Toc306703563"/>
      <w:r w:rsidRPr="009921BE">
        <w:rPr>
          <w:sz w:val="22"/>
        </w:rPr>
        <w:t>Student information</w:t>
      </w:r>
      <w:bookmarkEnd w:id="7"/>
    </w:p>
    <w:p w:rsidR="009974E3" w:rsidRPr="009921BE" w:rsidRDefault="009974E3" w:rsidP="00E976B7">
      <w:pPr>
        <w:pStyle w:val="ASRBodyText"/>
      </w:pPr>
      <w:r w:rsidRPr="009921BE">
        <w:t>It is a requirement that the reporting of information for all students must be consistent with privacy and personal information policies.</w:t>
      </w:r>
    </w:p>
    <w:p w:rsidR="009974E3" w:rsidRPr="009921BE" w:rsidRDefault="009974E3" w:rsidP="00FD59D8">
      <w:pPr>
        <w:pStyle w:val="ASRHeading3"/>
        <w:outlineLvl w:val="2"/>
        <w:rPr>
          <w:rFonts w:asciiTheme="minorHAnsi" w:hAnsiTheme="minorHAnsi"/>
          <w:sz w:val="22"/>
          <w:szCs w:val="22"/>
        </w:rPr>
      </w:pPr>
      <w:bookmarkStart w:id="8" w:name="_Toc306703564"/>
      <w:r w:rsidRPr="009921BE">
        <w:rPr>
          <w:rFonts w:asciiTheme="minorHAnsi" w:hAnsiTheme="minorHAnsi"/>
          <w:sz w:val="22"/>
          <w:szCs w:val="22"/>
        </w:rPr>
        <w:t>Student enrolment profile</w:t>
      </w:r>
      <w:bookmarkEnd w:id="8"/>
    </w:p>
    <w:tbl>
      <w:tblPr>
        <w:tblW w:w="4440" w:type="dxa"/>
        <w:tblInd w:w="103" w:type="dxa"/>
        <w:tblLook w:val="04A0"/>
      </w:tblPr>
      <w:tblGrid>
        <w:gridCol w:w="893"/>
        <w:gridCol w:w="720"/>
        <w:gridCol w:w="720"/>
        <w:gridCol w:w="720"/>
        <w:gridCol w:w="720"/>
        <w:gridCol w:w="720"/>
      </w:tblGrid>
      <w:tr w:rsidR="00BE7720" w:rsidRPr="009921BE" w:rsidTr="00BE7720">
        <w:trPr>
          <w:trHeight w:val="330"/>
        </w:trPr>
        <w:tc>
          <w:tcPr>
            <w:tcW w:w="840"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Gender</w:t>
            </w:r>
          </w:p>
        </w:tc>
        <w:tc>
          <w:tcPr>
            <w:tcW w:w="72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2007</w:t>
            </w:r>
          </w:p>
        </w:tc>
        <w:tc>
          <w:tcPr>
            <w:tcW w:w="72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2008</w:t>
            </w:r>
          </w:p>
        </w:tc>
        <w:tc>
          <w:tcPr>
            <w:tcW w:w="72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2009</w:t>
            </w:r>
          </w:p>
        </w:tc>
        <w:tc>
          <w:tcPr>
            <w:tcW w:w="72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2010</w:t>
            </w:r>
          </w:p>
        </w:tc>
        <w:tc>
          <w:tcPr>
            <w:tcW w:w="72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2011</w:t>
            </w:r>
          </w:p>
        </w:tc>
      </w:tr>
      <w:tr w:rsidR="00BE7720" w:rsidRPr="009921BE" w:rsidTr="00BE7720">
        <w:trPr>
          <w:trHeight w:val="300"/>
        </w:trPr>
        <w:tc>
          <w:tcPr>
            <w:tcW w:w="840" w:type="dxa"/>
            <w:tcBorders>
              <w:top w:val="nil"/>
              <w:left w:val="single" w:sz="4" w:space="0" w:color="7F7F7F"/>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Male</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135</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132</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137</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134</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136</w:t>
            </w:r>
          </w:p>
        </w:tc>
      </w:tr>
      <w:tr w:rsidR="00BE7720" w:rsidRPr="009921BE" w:rsidTr="00BE7720">
        <w:trPr>
          <w:trHeight w:val="315"/>
        </w:trPr>
        <w:tc>
          <w:tcPr>
            <w:tcW w:w="840" w:type="dxa"/>
            <w:tcBorders>
              <w:top w:val="nil"/>
              <w:left w:val="single" w:sz="4" w:space="0" w:color="7F7F7F"/>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Female</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130</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143</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142</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152</w:t>
            </w:r>
          </w:p>
        </w:tc>
        <w:tc>
          <w:tcPr>
            <w:tcW w:w="72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156</w:t>
            </w:r>
          </w:p>
        </w:tc>
      </w:tr>
    </w:tbl>
    <w:p w:rsidR="00BE7720" w:rsidRPr="009921BE" w:rsidRDefault="00BE7720" w:rsidP="00C572CB">
      <w:pPr>
        <w:pStyle w:val="ASRBodyText"/>
      </w:pPr>
    </w:p>
    <w:tbl>
      <w:tblPr>
        <w:tblW w:w="4573" w:type="dxa"/>
        <w:tblInd w:w="108" w:type="dxa"/>
        <w:tblLook w:val="04A0"/>
      </w:tblPr>
      <w:tblGrid>
        <w:gridCol w:w="1047"/>
        <w:gridCol w:w="706"/>
        <w:gridCol w:w="705"/>
        <w:gridCol w:w="705"/>
        <w:gridCol w:w="705"/>
        <w:gridCol w:w="705"/>
      </w:tblGrid>
      <w:tr w:rsidR="00BE7720" w:rsidRPr="009921BE" w:rsidTr="00845595">
        <w:trPr>
          <w:trHeight w:val="300"/>
        </w:trPr>
        <w:tc>
          <w:tcPr>
            <w:tcW w:w="1017" w:type="dxa"/>
            <w:tcBorders>
              <w:top w:val="nil"/>
              <w:left w:val="nil"/>
              <w:bottom w:val="nil"/>
              <w:right w:val="nil"/>
            </w:tcBorders>
            <w:shd w:val="clear" w:color="auto"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r w:rsidRPr="009921BE">
              <w:rPr>
                <w:rFonts w:eastAsia="Times New Roman" w:cs="Times New Roman"/>
                <w:noProof/>
                <w:color w:val="000000"/>
                <w:lang w:val="en-AU" w:eastAsia="en-AU" w:bidi="ar-SA"/>
              </w:rPr>
              <w:drawing>
                <wp:anchor distT="0" distB="0" distL="114300" distR="114300" simplePos="0" relativeHeight="251676672" behindDoc="0" locked="0" layoutInCell="1" allowOverlap="1">
                  <wp:simplePos x="0" y="0"/>
                  <wp:positionH relativeFrom="column">
                    <wp:posOffset>-28575</wp:posOffset>
                  </wp:positionH>
                  <wp:positionV relativeFrom="paragraph">
                    <wp:posOffset>-38100</wp:posOffset>
                  </wp:positionV>
                  <wp:extent cx="2857500" cy="2657475"/>
                  <wp:effectExtent l="0" t="0" r="635" b="0"/>
                  <wp:wrapNone/>
                  <wp:docPr id="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tblPr>
            <w:tblGrid>
              <w:gridCol w:w="831"/>
            </w:tblGrid>
            <w:tr w:rsidR="00BE7720" w:rsidRPr="009921BE">
              <w:trPr>
                <w:trHeight w:val="300"/>
                <w:tblCellSpacing w:w="0" w:type="dxa"/>
              </w:trPr>
              <w:tc>
                <w:tcPr>
                  <w:tcW w:w="840"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bl>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15"/>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3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3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845595">
        <w:trPr>
          <w:trHeight w:val="300"/>
        </w:trPr>
        <w:tc>
          <w:tcPr>
            <w:tcW w:w="1017"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2"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11"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bl>
    <w:p w:rsidR="009921BE" w:rsidRDefault="00845595" w:rsidP="00FD59D8">
      <w:pPr>
        <w:pStyle w:val="ASRHeading3"/>
        <w:outlineLvl w:val="2"/>
        <w:rPr>
          <w:rFonts w:asciiTheme="minorHAnsi" w:hAnsiTheme="minorHAnsi"/>
          <w:sz w:val="22"/>
          <w:szCs w:val="22"/>
        </w:rPr>
      </w:pPr>
      <w:bookmarkStart w:id="9" w:name="_Toc306703565"/>
      <w:r>
        <w:rPr>
          <w:rFonts w:asciiTheme="minorHAnsi" w:hAnsiTheme="minorHAnsi"/>
          <w:noProof/>
          <w:sz w:val="22"/>
          <w:szCs w:val="22"/>
          <w:lang w:val="en-AU" w:eastAsia="en-AU" w:bidi="ar-SA"/>
        </w:rPr>
        <w:drawing>
          <wp:inline distT="0" distB="0" distL="0" distR="0">
            <wp:extent cx="2835275" cy="1889369"/>
            <wp:effectExtent l="19050" t="0" r="3175" b="0"/>
            <wp:docPr id="21" name="Picture 8" descr="C:\Documents and Settings\Staffuser\Desktop\Promotions\DSC_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taffuser\Desktop\Promotions\DSC_5490.jpg"/>
                    <pic:cNvPicPr>
                      <a:picLocks noChangeAspect="1" noChangeArrowheads="1"/>
                    </pic:cNvPicPr>
                  </pic:nvPicPr>
                  <pic:blipFill>
                    <a:blip r:embed="rId14" cstate="print"/>
                    <a:srcRect/>
                    <a:stretch>
                      <a:fillRect/>
                    </a:stretch>
                  </pic:blipFill>
                  <pic:spPr bwMode="auto">
                    <a:xfrm>
                      <a:off x="0" y="0"/>
                      <a:ext cx="2835275" cy="1889369"/>
                    </a:xfrm>
                    <a:prstGeom prst="rect">
                      <a:avLst/>
                    </a:prstGeom>
                    <a:noFill/>
                    <a:ln w="9525">
                      <a:noFill/>
                      <a:miter lim="800000"/>
                      <a:headEnd/>
                      <a:tailEnd/>
                    </a:ln>
                  </pic:spPr>
                </pic:pic>
              </a:graphicData>
            </a:graphic>
          </wp:inline>
        </w:drawing>
      </w:r>
    </w:p>
    <w:p w:rsidR="009A2AAB" w:rsidRDefault="009A2AAB" w:rsidP="00FD59D8">
      <w:pPr>
        <w:pStyle w:val="ASRHeading3"/>
        <w:outlineLvl w:val="2"/>
        <w:rPr>
          <w:rFonts w:asciiTheme="minorHAnsi" w:hAnsiTheme="minorHAnsi"/>
          <w:sz w:val="22"/>
          <w:szCs w:val="22"/>
        </w:rPr>
      </w:pPr>
    </w:p>
    <w:p w:rsidR="009A2AAB" w:rsidRDefault="009A2AAB" w:rsidP="00FD59D8">
      <w:pPr>
        <w:pStyle w:val="ASRHeading3"/>
        <w:outlineLvl w:val="2"/>
        <w:rPr>
          <w:rFonts w:asciiTheme="minorHAnsi" w:hAnsiTheme="minorHAnsi"/>
          <w:sz w:val="22"/>
          <w:szCs w:val="22"/>
        </w:rPr>
      </w:pPr>
    </w:p>
    <w:p w:rsidR="009974E3" w:rsidRPr="009921BE" w:rsidRDefault="009974E3" w:rsidP="00FD59D8">
      <w:pPr>
        <w:pStyle w:val="ASRHeading3"/>
        <w:outlineLvl w:val="2"/>
        <w:rPr>
          <w:rFonts w:asciiTheme="minorHAnsi" w:hAnsiTheme="minorHAnsi"/>
          <w:sz w:val="22"/>
          <w:szCs w:val="22"/>
        </w:rPr>
      </w:pPr>
      <w:r w:rsidRPr="009921BE">
        <w:rPr>
          <w:rFonts w:asciiTheme="minorHAnsi" w:hAnsiTheme="minorHAnsi"/>
          <w:sz w:val="22"/>
          <w:szCs w:val="22"/>
        </w:rPr>
        <w:lastRenderedPageBreak/>
        <w:t>Student attendance profile</w:t>
      </w:r>
      <w:bookmarkEnd w:id="9"/>
    </w:p>
    <w:p w:rsidR="00BE7720" w:rsidRPr="009921BE" w:rsidRDefault="00BE7720" w:rsidP="00C572CB">
      <w:pPr>
        <w:pStyle w:val="ASRBodyText"/>
      </w:pPr>
    </w:p>
    <w:tbl>
      <w:tblPr>
        <w:tblW w:w="4420" w:type="dxa"/>
        <w:tblInd w:w="103" w:type="dxa"/>
        <w:tblLook w:val="04A0"/>
      </w:tblPr>
      <w:tblGrid>
        <w:gridCol w:w="540"/>
        <w:gridCol w:w="840"/>
        <w:gridCol w:w="760"/>
        <w:gridCol w:w="760"/>
        <w:gridCol w:w="760"/>
        <w:gridCol w:w="760"/>
      </w:tblGrid>
      <w:tr w:rsidR="00BE7720" w:rsidRPr="009921BE" w:rsidTr="00BE7720">
        <w:trPr>
          <w:trHeight w:val="330"/>
        </w:trPr>
        <w:tc>
          <w:tcPr>
            <w:tcW w:w="540" w:type="dxa"/>
            <w:vMerge w:val="restart"/>
            <w:tcBorders>
              <w:top w:val="single" w:sz="4" w:space="0" w:color="7F7F7F"/>
              <w:left w:val="single" w:sz="4" w:space="0" w:color="7F7F7F"/>
              <w:bottom w:val="single" w:sz="4" w:space="0" w:color="7F7F7F"/>
              <w:right w:val="single" w:sz="4" w:space="0" w:color="7F7F7F"/>
            </w:tcBorders>
            <w:shd w:val="clear" w:color="auto" w:fill="auto"/>
            <w:noWrap/>
            <w:textDirection w:val="btLr"/>
            <w:vAlign w:val="center"/>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School</w:t>
            </w:r>
          </w:p>
        </w:tc>
        <w:tc>
          <w:tcPr>
            <w:tcW w:w="84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Year</w:t>
            </w:r>
          </w:p>
        </w:tc>
        <w:tc>
          <w:tcPr>
            <w:tcW w:w="76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2008</w:t>
            </w:r>
          </w:p>
        </w:tc>
        <w:tc>
          <w:tcPr>
            <w:tcW w:w="76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2009</w:t>
            </w:r>
          </w:p>
        </w:tc>
        <w:tc>
          <w:tcPr>
            <w:tcW w:w="76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2010</w:t>
            </w:r>
          </w:p>
        </w:tc>
        <w:tc>
          <w:tcPr>
            <w:tcW w:w="760" w:type="dxa"/>
            <w:tcBorders>
              <w:top w:val="single" w:sz="4" w:space="0" w:color="7F7F7F"/>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2011</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91.3</w:t>
            </w:r>
          </w:p>
        </w:tc>
      </w:tr>
      <w:tr w:rsidR="00BE7720" w:rsidRPr="009921BE" w:rsidTr="00BE7720">
        <w:trPr>
          <w:trHeight w:val="315"/>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94.8</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91.4</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92.0</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91.7</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92.1</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91.8</w:t>
            </w:r>
          </w:p>
        </w:tc>
      </w:tr>
      <w:tr w:rsidR="00BE7720" w:rsidRPr="009921BE" w:rsidTr="00BE7720">
        <w:trPr>
          <w:trHeight w:val="300"/>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91.9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92.8</w:t>
            </w:r>
          </w:p>
        </w:tc>
      </w:tr>
      <w:tr w:rsidR="00BE7720" w:rsidRPr="009921BE" w:rsidTr="00BE7720">
        <w:trPr>
          <w:trHeight w:val="315"/>
        </w:trPr>
        <w:tc>
          <w:tcPr>
            <w:tcW w:w="540" w:type="dxa"/>
            <w:vMerge/>
            <w:tcBorders>
              <w:top w:val="single" w:sz="4" w:space="0" w:color="7F7F7F"/>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Total</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93.0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92.9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93.1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92.2</w:t>
            </w:r>
          </w:p>
        </w:tc>
      </w:tr>
      <w:tr w:rsidR="00BE7720" w:rsidRPr="009921BE" w:rsidTr="00BE7720">
        <w:trPr>
          <w:trHeight w:val="300"/>
        </w:trPr>
        <w:tc>
          <w:tcPr>
            <w:tcW w:w="540" w:type="dxa"/>
            <w:vMerge w:val="restart"/>
            <w:tcBorders>
              <w:top w:val="nil"/>
              <w:left w:val="single" w:sz="4" w:space="0" w:color="7F7F7F"/>
              <w:bottom w:val="single" w:sz="4" w:space="0" w:color="7F7F7F"/>
              <w:right w:val="single" w:sz="4" w:space="0" w:color="7F7F7F"/>
            </w:tcBorders>
            <w:shd w:val="clear" w:color="auto" w:fill="auto"/>
            <w:noWrap/>
            <w:textDirection w:val="btLr"/>
            <w:vAlign w:val="center"/>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Region</w:t>
            </w: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94.7</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94.1</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93.8</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94.1</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93.9</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94.3</w:t>
            </w:r>
          </w:p>
        </w:tc>
      </w:tr>
      <w:tr w:rsidR="00BE7720" w:rsidRPr="009921BE" w:rsidTr="00BE7720">
        <w:trPr>
          <w:trHeight w:val="33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93.9</w:t>
            </w:r>
          </w:p>
        </w:tc>
      </w:tr>
      <w:tr w:rsidR="00BE7720" w:rsidRPr="009921BE" w:rsidTr="00BE7720">
        <w:trPr>
          <w:trHeight w:val="33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Total</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92.1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94.3</w:t>
            </w:r>
          </w:p>
        </w:tc>
      </w:tr>
      <w:tr w:rsidR="00BE7720" w:rsidRPr="009921BE" w:rsidTr="00BE7720">
        <w:trPr>
          <w:trHeight w:val="300"/>
        </w:trPr>
        <w:tc>
          <w:tcPr>
            <w:tcW w:w="540" w:type="dxa"/>
            <w:vMerge w:val="restart"/>
            <w:tcBorders>
              <w:top w:val="nil"/>
              <w:left w:val="single" w:sz="4" w:space="0" w:color="7F7F7F"/>
              <w:bottom w:val="single" w:sz="4" w:space="0" w:color="7F7F7F"/>
              <w:right w:val="single" w:sz="4" w:space="0" w:color="7F7F7F"/>
            </w:tcBorders>
            <w:shd w:val="clear" w:color="auto" w:fill="auto"/>
            <w:noWrap/>
            <w:textDirection w:val="btLr"/>
            <w:vAlign w:val="center"/>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State DEC</w:t>
            </w: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94.7</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94.7</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93.7</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r>
      <w:tr w:rsidR="00BE7720" w:rsidRPr="009921BE" w:rsidTr="00BE7720">
        <w:trPr>
          <w:trHeight w:val="315"/>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r>
      <w:tr w:rsidR="00BE7720" w:rsidRPr="009921BE" w:rsidTr="00BE7720">
        <w:trPr>
          <w:trHeight w:val="315"/>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94.3</w:t>
            </w:r>
          </w:p>
        </w:tc>
      </w:tr>
      <w:tr w:rsidR="00BE7720" w:rsidRPr="009921BE" w:rsidTr="00BE7720">
        <w:trPr>
          <w:trHeight w:val="315"/>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94.2</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 </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93.6</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94.0</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93.8</w:t>
            </w:r>
          </w:p>
        </w:tc>
      </w:tr>
      <w:tr w:rsidR="00BE7720" w:rsidRPr="009921BE" w:rsidTr="00BE7720">
        <w:trPr>
          <w:trHeight w:val="300"/>
        </w:trPr>
        <w:tc>
          <w:tcPr>
            <w:tcW w:w="540" w:type="dxa"/>
            <w:vMerge/>
            <w:tcBorders>
              <w:top w:val="nil"/>
              <w:left w:val="single" w:sz="4" w:space="0" w:color="7F7F7F"/>
              <w:bottom w:val="single" w:sz="4" w:space="0" w:color="7F7F7F"/>
              <w:right w:val="single" w:sz="4" w:space="0" w:color="7F7F7F"/>
            </w:tcBorders>
            <w:vAlign w:val="center"/>
            <w:hideMark/>
          </w:tcPr>
          <w:p w:rsidR="00BE7720" w:rsidRPr="009921BE" w:rsidRDefault="00BE7720" w:rsidP="00BE7720">
            <w:pPr>
              <w:spacing w:after="0" w:line="240" w:lineRule="auto"/>
              <w:rPr>
                <w:rFonts w:eastAsia="Times New Roman" w:cs="Times New Roman"/>
                <w:b/>
                <w:bCs/>
                <w:color w:val="000000"/>
                <w:lang w:val="en-AU" w:eastAsia="en-AU" w:bidi="ar-SA"/>
              </w:rPr>
            </w:pPr>
          </w:p>
        </w:tc>
        <w:tc>
          <w:tcPr>
            <w:tcW w:w="84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Total</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92.1</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94.4</w:t>
            </w:r>
          </w:p>
        </w:tc>
        <w:tc>
          <w:tcPr>
            <w:tcW w:w="760" w:type="dxa"/>
            <w:tcBorders>
              <w:top w:val="nil"/>
              <w:left w:val="nil"/>
              <w:bottom w:val="single" w:sz="4" w:space="0" w:color="7F7F7F"/>
              <w:right w:val="single" w:sz="4" w:space="0" w:color="7F7F7F"/>
            </w:tcBorders>
            <w:shd w:val="clear" w:color="000000" w:fill="FFFFFF"/>
            <w:noWrap/>
            <w:vAlign w:val="bottom"/>
            <w:hideMark/>
          </w:tcPr>
          <w:p w:rsidR="00BE7720" w:rsidRPr="009921BE" w:rsidRDefault="00BE7720" w:rsidP="00BE7720">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94.3</w:t>
            </w:r>
          </w:p>
        </w:tc>
      </w:tr>
    </w:tbl>
    <w:p w:rsidR="00CE6790" w:rsidRPr="009921BE" w:rsidRDefault="00CE6790" w:rsidP="00C572CB">
      <w:pPr>
        <w:pStyle w:val="ASRBodyText"/>
      </w:pPr>
    </w:p>
    <w:p w:rsidR="00CE6790" w:rsidRPr="009921BE" w:rsidRDefault="00CE6790" w:rsidP="00C572CB">
      <w:pPr>
        <w:pStyle w:val="ASRBodyText"/>
      </w:pPr>
    </w:p>
    <w:p w:rsidR="005B5D58" w:rsidRPr="009921BE" w:rsidRDefault="005B5D58" w:rsidP="00C572CB">
      <w:pPr>
        <w:pStyle w:val="ASRBodyText"/>
      </w:pPr>
    </w:p>
    <w:tbl>
      <w:tblPr>
        <w:tblW w:w="6068" w:type="dxa"/>
        <w:tblInd w:w="108" w:type="dxa"/>
        <w:tblLook w:val="04A0"/>
      </w:tblPr>
      <w:tblGrid>
        <w:gridCol w:w="976"/>
        <w:gridCol w:w="556"/>
        <w:gridCol w:w="856"/>
        <w:gridCol w:w="776"/>
        <w:gridCol w:w="776"/>
        <w:gridCol w:w="776"/>
        <w:gridCol w:w="776"/>
        <w:gridCol w:w="776"/>
      </w:tblGrid>
      <w:tr w:rsidR="00BE7720" w:rsidRPr="009921BE" w:rsidTr="00BE7720">
        <w:trPr>
          <w:trHeight w:val="300"/>
        </w:trPr>
        <w:tc>
          <w:tcPr>
            <w:tcW w:w="776" w:type="dxa"/>
            <w:tcBorders>
              <w:top w:val="nil"/>
              <w:left w:val="nil"/>
              <w:bottom w:val="nil"/>
              <w:right w:val="nil"/>
            </w:tcBorders>
            <w:shd w:val="clear" w:color="auto"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r w:rsidRPr="009921BE">
              <w:rPr>
                <w:rFonts w:eastAsia="Times New Roman" w:cs="Times New Roman"/>
                <w:noProof/>
                <w:color w:val="000000"/>
                <w:lang w:val="en-AU" w:eastAsia="en-AU" w:bidi="ar-SA"/>
              </w:rPr>
              <w:drawing>
                <wp:anchor distT="0" distB="0" distL="114300" distR="114300" simplePos="0" relativeHeight="251678720" behindDoc="0" locked="0" layoutInCell="1" allowOverlap="1">
                  <wp:simplePos x="0" y="0"/>
                  <wp:positionH relativeFrom="column">
                    <wp:posOffset>-398145</wp:posOffset>
                  </wp:positionH>
                  <wp:positionV relativeFrom="paragraph">
                    <wp:posOffset>85090</wp:posOffset>
                  </wp:positionV>
                  <wp:extent cx="3190875" cy="2333625"/>
                  <wp:effectExtent l="19050" t="0" r="9525" b="0"/>
                  <wp:wrapNone/>
                  <wp:docPr id="1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0" w:type="auto"/>
              <w:tblCellSpacing w:w="0" w:type="dxa"/>
              <w:tblCellMar>
                <w:left w:w="0" w:type="dxa"/>
                <w:right w:w="0" w:type="dxa"/>
              </w:tblCellMar>
              <w:tblLook w:val="04A0"/>
            </w:tblPr>
            <w:tblGrid>
              <w:gridCol w:w="760"/>
            </w:tblGrid>
            <w:tr w:rsidR="00BE7720" w:rsidRPr="009921BE">
              <w:trPr>
                <w:trHeight w:val="300"/>
                <w:tblCellSpacing w:w="0" w:type="dxa"/>
              </w:trPr>
              <w:tc>
                <w:tcPr>
                  <w:tcW w:w="760"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bl>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jc w:val="center"/>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15"/>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r w:rsidR="00BE7720" w:rsidRPr="009921BE" w:rsidTr="00BE7720">
        <w:trPr>
          <w:trHeight w:val="300"/>
        </w:trPr>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5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85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c>
          <w:tcPr>
            <w:tcW w:w="776" w:type="dxa"/>
            <w:tcBorders>
              <w:top w:val="nil"/>
              <w:left w:val="nil"/>
              <w:bottom w:val="nil"/>
              <w:right w:val="nil"/>
            </w:tcBorders>
            <w:shd w:val="clear" w:color="000000" w:fill="auto"/>
            <w:noWrap/>
            <w:vAlign w:val="bottom"/>
            <w:hideMark/>
          </w:tcPr>
          <w:p w:rsidR="00BE7720" w:rsidRPr="009921BE" w:rsidRDefault="00BE7720" w:rsidP="00BE7720">
            <w:pPr>
              <w:spacing w:after="0" w:line="240" w:lineRule="auto"/>
              <w:rPr>
                <w:rFonts w:eastAsia="Times New Roman" w:cs="Times New Roman"/>
                <w:color w:val="000000"/>
                <w:lang w:val="en-AU" w:eastAsia="en-AU" w:bidi="ar-SA"/>
              </w:rPr>
            </w:pPr>
          </w:p>
        </w:tc>
      </w:tr>
    </w:tbl>
    <w:p w:rsidR="009974E3" w:rsidRPr="009921BE" w:rsidRDefault="009974E3" w:rsidP="00FD59D8">
      <w:pPr>
        <w:pStyle w:val="ASRHeading3"/>
        <w:outlineLvl w:val="2"/>
        <w:rPr>
          <w:rFonts w:asciiTheme="minorHAnsi" w:hAnsiTheme="minorHAnsi"/>
          <w:sz w:val="22"/>
          <w:szCs w:val="22"/>
        </w:rPr>
      </w:pPr>
      <w:bookmarkStart w:id="10" w:name="_Toc306703566"/>
      <w:r w:rsidRPr="009921BE">
        <w:rPr>
          <w:rFonts w:asciiTheme="minorHAnsi" w:hAnsiTheme="minorHAnsi"/>
          <w:sz w:val="22"/>
          <w:szCs w:val="22"/>
        </w:rPr>
        <w:t>Management of non-attendance</w:t>
      </w:r>
      <w:bookmarkEnd w:id="10"/>
    </w:p>
    <w:p w:rsidR="004A1320" w:rsidRPr="009921BE" w:rsidRDefault="004A1320" w:rsidP="004A1320">
      <w:pPr>
        <w:pStyle w:val="ASRBodyText"/>
        <w:rPr>
          <w:rFonts w:cs="Arial"/>
        </w:rPr>
      </w:pPr>
      <w:bookmarkStart w:id="11" w:name="_Toc306703567"/>
      <w:r w:rsidRPr="009921BE">
        <w:rPr>
          <w:rFonts w:cs="Arial"/>
        </w:rPr>
        <w:t>Attendance data for Blackheath Public School is consistently slightly lower than that of Regional and State data.</w:t>
      </w:r>
    </w:p>
    <w:p w:rsidR="004A1320" w:rsidRPr="009921BE" w:rsidRDefault="004A1320" w:rsidP="00FD59D8">
      <w:pPr>
        <w:pStyle w:val="ASRHeading3"/>
        <w:outlineLvl w:val="2"/>
        <w:rPr>
          <w:rFonts w:asciiTheme="minorHAnsi" w:hAnsiTheme="minorHAnsi"/>
          <w:sz w:val="22"/>
          <w:szCs w:val="22"/>
        </w:rPr>
      </w:pPr>
    </w:p>
    <w:p w:rsidR="009974E3" w:rsidRPr="009921BE" w:rsidRDefault="009974E3" w:rsidP="00FD59D8">
      <w:pPr>
        <w:pStyle w:val="ASRHeading3"/>
        <w:outlineLvl w:val="2"/>
        <w:rPr>
          <w:rFonts w:asciiTheme="minorHAnsi" w:hAnsiTheme="minorHAnsi"/>
          <w:sz w:val="22"/>
          <w:szCs w:val="22"/>
        </w:rPr>
      </w:pPr>
      <w:r w:rsidRPr="009921BE">
        <w:rPr>
          <w:rFonts w:asciiTheme="minorHAnsi" w:hAnsiTheme="minorHAnsi"/>
          <w:sz w:val="22"/>
          <w:szCs w:val="22"/>
        </w:rPr>
        <w:t>Class sizes</w:t>
      </w:r>
      <w:bookmarkEnd w:id="11"/>
    </w:p>
    <w:p w:rsidR="009974E3" w:rsidRPr="009921BE" w:rsidRDefault="00CE3CED" w:rsidP="00C572CB">
      <w:pPr>
        <w:pStyle w:val="ASRBodyText"/>
      </w:pPr>
      <w:r w:rsidRPr="009921BE">
        <w:t>P</w:t>
      </w:r>
      <w:r w:rsidR="009974E3" w:rsidRPr="009921BE">
        <w:t xml:space="preserve">rimary class sizes </w:t>
      </w:r>
      <w:r w:rsidRPr="009921BE">
        <w:t xml:space="preserve">are included </w:t>
      </w:r>
      <w:r w:rsidR="009974E3" w:rsidRPr="009921BE">
        <w:t xml:space="preserve">in </w:t>
      </w:r>
      <w:r w:rsidRPr="009921BE">
        <w:t xml:space="preserve">the </w:t>
      </w:r>
      <w:r w:rsidR="00B538B1" w:rsidRPr="009921BE">
        <w:t>annual school report</w:t>
      </w:r>
      <w:r w:rsidR="009974E3" w:rsidRPr="009921BE">
        <w:t xml:space="preserve"> in order to provide parents with as much local information as possible.</w:t>
      </w:r>
      <w:r w:rsidR="00CE4440" w:rsidRPr="009921BE">
        <w:t xml:space="preserve"> </w:t>
      </w:r>
      <w:r w:rsidR="009974E3" w:rsidRPr="009921BE">
        <w:t xml:space="preserve">The following table shows our class sizes as reported at the 2011 </w:t>
      </w:r>
      <w:r w:rsidR="00CE4440" w:rsidRPr="009921BE">
        <w:t>C</w:t>
      </w:r>
      <w:r w:rsidR="009974E3" w:rsidRPr="009921BE">
        <w:t xml:space="preserve">lass </w:t>
      </w:r>
      <w:r w:rsidR="00CE4440" w:rsidRPr="009921BE">
        <w:t>S</w:t>
      </w:r>
      <w:r w:rsidR="009974E3" w:rsidRPr="009921BE">
        <w:t xml:space="preserve">ize </w:t>
      </w:r>
      <w:r w:rsidR="00CE4440" w:rsidRPr="009921BE">
        <w:t>A</w:t>
      </w:r>
      <w:r w:rsidR="009974E3" w:rsidRPr="009921BE">
        <w:t xml:space="preserve">udit conducted on </w:t>
      </w:r>
      <w:r w:rsidRPr="009921BE">
        <w:t>Monday</w:t>
      </w:r>
      <w:r w:rsidR="009974E3" w:rsidRPr="009921BE">
        <w:t xml:space="preserve"> </w:t>
      </w:r>
      <w:r w:rsidRPr="009921BE">
        <w:t>21</w:t>
      </w:r>
      <w:r w:rsidR="009974E3" w:rsidRPr="009921BE">
        <w:t xml:space="preserve"> March 2011.</w:t>
      </w:r>
    </w:p>
    <w:tbl>
      <w:tblPr>
        <w:tblW w:w="4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628"/>
        <w:gridCol w:w="1416"/>
        <w:gridCol w:w="1436"/>
      </w:tblGrid>
      <w:tr w:rsidR="005D7172" w:rsidRPr="009921BE" w:rsidTr="004A1320">
        <w:trPr>
          <w:trHeight w:val="315"/>
        </w:trPr>
        <w:tc>
          <w:tcPr>
            <w:tcW w:w="856" w:type="dxa"/>
            <w:tcBorders>
              <w:top w:val="nil"/>
              <w:left w:val="nil"/>
              <w:bottom w:val="single" w:sz="4" w:space="0" w:color="auto"/>
              <w:right w:val="nil"/>
            </w:tcBorders>
            <w:shd w:val="clear" w:color="000000" w:fill="auto"/>
            <w:noWrap/>
            <w:vAlign w:val="bottom"/>
            <w:hideMark/>
          </w:tcPr>
          <w:p w:rsidR="004A1320" w:rsidRPr="009921BE" w:rsidRDefault="004A1320" w:rsidP="00E27CE0">
            <w:pPr>
              <w:spacing w:after="0" w:line="240" w:lineRule="auto"/>
              <w:rPr>
                <w:rFonts w:eastAsia="Times New Roman" w:cs="Times New Roman"/>
                <w:b/>
                <w:bCs/>
                <w:color w:val="000000"/>
                <w:lang w:val="en-AU" w:eastAsia="en-AU" w:bidi="ar-SA"/>
              </w:rPr>
            </w:pPr>
          </w:p>
          <w:p w:rsidR="005D7172" w:rsidRPr="009921BE" w:rsidRDefault="005D7172" w:rsidP="005D7172">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Roll class</w:t>
            </w:r>
          </w:p>
          <w:p w:rsidR="004A1320" w:rsidRPr="009921BE" w:rsidRDefault="004A1320" w:rsidP="005D7172">
            <w:pPr>
              <w:spacing w:after="0" w:line="240" w:lineRule="auto"/>
              <w:jc w:val="center"/>
              <w:rPr>
                <w:rFonts w:eastAsia="Times New Roman" w:cs="Times New Roman"/>
                <w:b/>
                <w:bCs/>
                <w:color w:val="000000"/>
                <w:lang w:val="en-AU" w:eastAsia="en-AU" w:bidi="ar-SA"/>
              </w:rPr>
            </w:pPr>
          </w:p>
        </w:tc>
        <w:tc>
          <w:tcPr>
            <w:tcW w:w="596" w:type="dxa"/>
            <w:tcBorders>
              <w:top w:val="nil"/>
              <w:left w:val="nil"/>
              <w:bottom w:val="single" w:sz="4" w:space="0" w:color="auto"/>
              <w:right w:val="nil"/>
            </w:tcBorders>
            <w:shd w:val="clear" w:color="000000" w:fill="auto"/>
            <w:noWrap/>
            <w:vAlign w:val="bottom"/>
            <w:hideMark/>
          </w:tcPr>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5D7172" w:rsidRPr="009921BE" w:rsidRDefault="005D7172" w:rsidP="005D7172">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Year</w:t>
            </w: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tc>
        <w:tc>
          <w:tcPr>
            <w:tcW w:w="1416" w:type="dxa"/>
            <w:tcBorders>
              <w:top w:val="nil"/>
              <w:left w:val="nil"/>
              <w:bottom w:val="single" w:sz="4" w:space="0" w:color="auto"/>
              <w:right w:val="nil"/>
            </w:tcBorders>
            <w:shd w:val="clear" w:color="000000" w:fill="auto"/>
            <w:noWrap/>
            <w:vAlign w:val="bottom"/>
            <w:hideMark/>
          </w:tcPr>
          <w:p w:rsidR="005D7172" w:rsidRPr="009921BE" w:rsidRDefault="005D7172" w:rsidP="005D7172">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Total per year</w:t>
            </w: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tc>
        <w:tc>
          <w:tcPr>
            <w:tcW w:w="1436" w:type="dxa"/>
            <w:tcBorders>
              <w:top w:val="nil"/>
              <w:left w:val="nil"/>
              <w:bottom w:val="single" w:sz="4" w:space="0" w:color="auto"/>
              <w:right w:val="nil"/>
            </w:tcBorders>
            <w:shd w:val="clear" w:color="000000" w:fill="auto"/>
            <w:noWrap/>
            <w:vAlign w:val="bottom"/>
            <w:hideMark/>
          </w:tcPr>
          <w:p w:rsidR="005D7172" w:rsidRPr="009921BE" w:rsidRDefault="004A1320" w:rsidP="005D7172">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Total In</w:t>
            </w:r>
            <w:r w:rsidR="005D7172" w:rsidRPr="009921BE">
              <w:rPr>
                <w:rFonts w:eastAsia="Times New Roman" w:cs="Times New Roman"/>
                <w:b/>
                <w:bCs/>
                <w:color w:val="000000"/>
                <w:lang w:val="en-AU" w:eastAsia="en-AU" w:bidi="ar-SA"/>
              </w:rPr>
              <w:t xml:space="preserve"> class</w:t>
            </w:r>
          </w:p>
          <w:p w:rsidR="004A1320" w:rsidRPr="009921BE" w:rsidRDefault="004A1320" w:rsidP="005D7172">
            <w:pPr>
              <w:spacing w:after="0" w:line="240" w:lineRule="auto"/>
              <w:jc w:val="center"/>
              <w:rPr>
                <w:rFonts w:eastAsia="Times New Roman" w:cs="Times New Roman"/>
                <w:b/>
                <w:bCs/>
                <w:color w:val="000000"/>
                <w:lang w:val="en-AU" w:eastAsia="en-AU" w:bidi="ar-SA"/>
              </w:rPr>
            </w:pPr>
          </w:p>
          <w:p w:rsidR="004A1320" w:rsidRPr="009921BE" w:rsidRDefault="004A1320" w:rsidP="005D7172">
            <w:pPr>
              <w:spacing w:after="0" w:line="240" w:lineRule="auto"/>
              <w:jc w:val="center"/>
              <w:rPr>
                <w:rFonts w:eastAsia="Times New Roman" w:cs="Times New Roman"/>
                <w:b/>
                <w:bCs/>
                <w:color w:val="000000"/>
                <w:lang w:val="en-AU" w:eastAsia="en-AU" w:bidi="ar-SA"/>
              </w:rPr>
            </w:pPr>
          </w:p>
        </w:tc>
      </w:tr>
      <w:tr w:rsidR="005D7172" w:rsidRPr="009921BE" w:rsidTr="004A1320">
        <w:trPr>
          <w:trHeight w:val="315"/>
        </w:trPr>
        <w:tc>
          <w:tcPr>
            <w:tcW w:w="856" w:type="dxa"/>
            <w:tcBorders>
              <w:top w:val="single" w:sz="4" w:space="0" w:color="auto"/>
            </w:tcBorders>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K-1C</w:t>
            </w:r>
          </w:p>
        </w:tc>
        <w:tc>
          <w:tcPr>
            <w:tcW w:w="596" w:type="dxa"/>
            <w:tcBorders>
              <w:top w:val="single" w:sz="4" w:space="0" w:color="auto"/>
            </w:tcBorders>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1416" w:type="dxa"/>
            <w:tcBorders>
              <w:top w:val="single" w:sz="4" w:space="0" w:color="auto"/>
            </w:tcBorders>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w:t>
            </w:r>
          </w:p>
        </w:tc>
        <w:tc>
          <w:tcPr>
            <w:tcW w:w="1436" w:type="dxa"/>
            <w:tcBorders>
              <w:top w:val="single" w:sz="4" w:space="0" w:color="auto"/>
            </w:tcBorders>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r>
      <w:tr w:rsidR="005D7172" w:rsidRPr="009921BE" w:rsidTr="004A1320">
        <w:trPr>
          <w:trHeight w:val="33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K-F</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18</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18</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K-H</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r>
      <w:tr w:rsidR="005D7172" w:rsidRPr="009921BE" w:rsidTr="004A1320">
        <w:trPr>
          <w:trHeight w:val="315"/>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K-M</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1-2R</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1B</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22</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22</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K-1C</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10</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19</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1-2R</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2-3S</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23</w:t>
            </w:r>
          </w:p>
        </w:tc>
      </w:tr>
      <w:tr w:rsidR="005D7172" w:rsidRPr="009921BE" w:rsidTr="004A1320">
        <w:trPr>
          <w:trHeight w:val="315"/>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2T</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2-3S</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10</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23</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3-4B</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11</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3-4W</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17</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27</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3-4B</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13</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3-4W</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10</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27</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4-5M</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15</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29</w:t>
            </w:r>
          </w:p>
        </w:tc>
      </w:tr>
      <w:tr w:rsidR="005D7172" w:rsidRPr="009921BE" w:rsidTr="004A1320">
        <w:trPr>
          <w:trHeight w:val="33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4-5M</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14</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29</w:t>
            </w:r>
          </w:p>
        </w:tc>
      </w:tr>
      <w:tr w:rsidR="005D7172" w:rsidRPr="009921BE" w:rsidTr="004A1320">
        <w:trPr>
          <w:trHeight w:val="33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5-6C</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15</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29</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5-6L</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5-6C</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6</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14</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29</w:t>
            </w:r>
          </w:p>
        </w:tc>
      </w:tr>
      <w:tr w:rsidR="005D7172" w:rsidRPr="009921BE" w:rsidTr="004A1320">
        <w:trPr>
          <w:trHeight w:val="300"/>
        </w:trPr>
        <w:tc>
          <w:tcPr>
            <w:tcW w:w="85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5-6L</w:t>
            </w:r>
          </w:p>
        </w:tc>
        <w:tc>
          <w:tcPr>
            <w:tcW w:w="59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6</w:t>
            </w:r>
          </w:p>
        </w:tc>
        <w:tc>
          <w:tcPr>
            <w:tcW w:w="141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12</w:t>
            </w:r>
          </w:p>
        </w:tc>
        <w:tc>
          <w:tcPr>
            <w:tcW w:w="1436" w:type="dxa"/>
            <w:shd w:val="clear" w:color="000000" w:fill="FFFFFF"/>
            <w:noWrap/>
            <w:vAlign w:val="bottom"/>
            <w:hideMark/>
          </w:tcPr>
          <w:p w:rsidR="005D7172" w:rsidRPr="009921BE" w:rsidRDefault="005D7172" w:rsidP="005D7172">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24</w:t>
            </w:r>
          </w:p>
        </w:tc>
      </w:tr>
    </w:tbl>
    <w:p w:rsidR="009921BE" w:rsidRDefault="009921BE" w:rsidP="00FD59D8">
      <w:pPr>
        <w:pStyle w:val="ASRHeading2"/>
        <w:outlineLvl w:val="1"/>
        <w:rPr>
          <w:sz w:val="22"/>
        </w:rPr>
      </w:pPr>
      <w:bookmarkStart w:id="12" w:name="_Toc306703573"/>
    </w:p>
    <w:p w:rsidR="009974E3" w:rsidRPr="009921BE" w:rsidRDefault="009974E3" w:rsidP="00FD59D8">
      <w:pPr>
        <w:pStyle w:val="ASRHeading2"/>
        <w:outlineLvl w:val="1"/>
        <w:rPr>
          <w:sz w:val="22"/>
        </w:rPr>
      </w:pPr>
      <w:r w:rsidRPr="009921BE">
        <w:rPr>
          <w:sz w:val="22"/>
        </w:rPr>
        <w:lastRenderedPageBreak/>
        <w:t>Staff information</w:t>
      </w:r>
      <w:bookmarkEnd w:id="12"/>
    </w:p>
    <w:p w:rsidR="009974E3" w:rsidRPr="009921BE" w:rsidRDefault="009974E3" w:rsidP="00C572CB">
      <w:pPr>
        <w:pStyle w:val="ASRBodyText"/>
      </w:pPr>
      <w:r w:rsidRPr="009921BE">
        <w:t>It is a requirement that the reporting of information for all staff must be consistent with privacy and personal information policies</w:t>
      </w:r>
      <w:r w:rsidR="00DF241E" w:rsidRPr="009921BE">
        <w:t>.</w:t>
      </w:r>
    </w:p>
    <w:p w:rsidR="001007D8" w:rsidRDefault="001007D8" w:rsidP="00FD59D8">
      <w:pPr>
        <w:pStyle w:val="ASRHeading3"/>
        <w:outlineLvl w:val="2"/>
        <w:rPr>
          <w:rFonts w:asciiTheme="minorHAnsi" w:hAnsiTheme="minorHAnsi"/>
          <w:sz w:val="22"/>
          <w:szCs w:val="22"/>
        </w:rPr>
      </w:pPr>
      <w:bookmarkStart w:id="13" w:name="_Toc306703574"/>
    </w:p>
    <w:p w:rsidR="009974E3" w:rsidRPr="009921BE" w:rsidRDefault="009974E3" w:rsidP="00FD59D8">
      <w:pPr>
        <w:pStyle w:val="ASRHeading3"/>
        <w:outlineLvl w:val="2"/>
        <w:rPr>
          <w:rFonts w:asciiTheme="minorHAnsi" w:hAnsiTheme="minorHAnsi"/>
          <w:sz w:val="22"/>
          <w:szCs w:val="22"/>
        </w:rPr>
      </w:pPr>
      <w:r w:rsidRPr="009921BE">
        <w:rPr>
          <w:rFonts w:asciiTheme="minorHAnsi" w:hAnsiTheme="minorHAnsi"/>
          <w:sz w:val="22"/>
          <w:szCs w:val="22"/>
        </w:rPr>
        <w:t>Staff establishment</w:t>
      </w:r>
      <w:bookmarkEnd w:id="13"/>
    </w:p>
    <w:tbl>
      <w:tblPr>
        <w:tblStyle w:val="LightList-Accent21"/>
        <w:tblW w:w="0" w:type="auto"/>
        <w:tblLayout w:type="fixed"/>
        <w:tblLook w:val="00A0"/>
      </w:tblPr>
      <w:tblGrid>
        <w:gridCol w:w="3652"/>
        <w:gridCol w:w="1029"/>
      </w:tblGrid>
      <w:tr w:rsidR="009974E3" w:rsidRPr="009921BE" w:rsidTr="00640740">
        <w:trPr>
          <w:cnfStyle w:val="100000000000"/>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Position</w:t>
            </w:r>
          </w:p>
        </w:tc>
        <w:tc>
          <w:tcPr>
            <w:cnfStyle w:val="000010000000"/>
            <w:tcW w:w="1029" w:type="dxa"/>
          </w:tcPr>
          <w:p w:rsidR="009974E3" w:rsidRPr="009921BE" w:rsidRDefault="009974E3" w:rsidP="00C572CB">
            <w:pPr>
              <w:pStyle w:val="ASRTableText"/>
              <w:rPr>
                <w:sz w:val="22"/>
                <w:szCs w:val="22"/>
              </w:rPr>
            </w:pPr>
            <w:r w:rsidRPr="009921BE">
              <w:rPr>
                <w:sz w:val="22"/>
                <w:szCs w:val="22"/>
              </w:rPr>
              <w:t>Number</w:t>
            </w:r>
          </w:p>
        </w:tc>
      </w:tr>
      <w:tr w:rsidR="009974E3" w:rsidRPr="009921BE" w:rsidTr="00640740">
        <w:trPr>
          <w:cnfStyle w:val="000000100000"/>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Principal</w:t>
            </w:r>
          </w:p>
        </w:tc>
        <w:tc>
          <w:tcPr>
            <w:cnfStyle w:val="000010000000"/>
            <w:tcW w:w="1029" w:type="dxa"/>
          </w:tcPr>
          <w:p w:rsidR="009974E3" w:rsidRPr="009921BE" w:rsidRDefault="00425492" w:rsidP="00425492">
            <w:pPr>
              <w:pStyle w:val="ASRTableText"/>
              <w:jc w:val="center"/>
              <w:rPr>
                <w:sz w:val="22"/>
                <w:szCs w:val="22"/>
              </w:rPr>
            </w:pPr>
            <w:r w:rsidRPr="009921BE">
              <w:rPr>
                <w:sz w:val="22"/>
                <w:szCs w:val="22"/>
              </w:rPr>
              <w:t>1</w:t>
            </w:r>
          </w:p>
        </w:tc>
      </w:tr>
      <w:tr w:rsidR="009974E3" w:rsidRPr="009921BE" w:rsidTr="00640740">
        <w:trPr>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Assistant Principal(s)</w:t>
            </w:r>
          </w:p>
        </w:tc>
        <w:tc>
          <w:tcPr>
            <w:cnfStyle w:val="000010000000"/>
            <w:tcW w:w="1029" w:type="dxa"/>
          </w:tcPr>
          <w:p w:rsidR="009974E3" w:rsidRPr="009921BE" w:rsidRDefault="00425492" w:rsidP="00425492">
            <w:pPr>
              <w:pStyle w:val="ASRTableText"/>
              <w:jc w:val="center"/>
              <w:rPr>
                <w:sz w:val="22"/>
                <w:szCs w:val="22"/>
              </w:rPr>
            </w:pPr>
            <w:r w:rsidRPr="009921BE">
              <w:rPr>
                <w:sz w:val="22"/>
                <w:szCs w:val="22"/>
              </w:rPr>
              <w:t>3</w:t>
            </w:r>
          </w:p>
        </w:tc>
      </w:tr>
      <w:tr w:rsidR="009974E3" w:rsidRPr="009921BE" w:rsidTr="00640740">
        <w:trPr>
          <w:cnfStyle w:val="000000100000"/>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Classroom Teachers</w:t>
            </w:r>
          </w:p>
        </w:tc>
        <w:tc>
          <w:tcPr>
            <w:cnfStyle w:val="000010000000"/>
            <w:tcW w:w="1029" w:type="dxa"/>
          </w:tcPr>
          <w:p w:rsidR="009974E3" w:rsidRPr="009921BE" w:rsidRDefault="00425492" w:rsidP="00425492">
            <w:pPr>
              <w:pStyle w:val="ASRTableText"/>
              <w:jc w:val="center"/>
              <w:rPr>
                <w:sz w:val="22"/>
                <w:szCs w:val="22"/>
              </w:rPr>
            </w:pPr>
            <w:r w:rsidRPr="009921BE">
              <w:rPr>
                <w:sz w:val="22"/>
                <w:szCs w:val="22"/>
              </w:rPr>
              <w:t>10</w:t>
            </w:r>
          </w:p>
        </w:tc>
      </w:tr>
      <w:tr w:rsidR="009974E3" w:rsidRPr="009921BE" w:rsidTr="00640740">
        <w:trPr>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Support Teacher Learning Assistance</w:t>
            </w:r>
          </w:p>
        </w:tc>
        <w:tc>
          <w:tcPr>
            <w:cnfStyle w:val="000010000000"/>
            <w:tcW w:w="1029" w:type="dxa"/>
          </w:tcPr>
          <w:p w:rsidR="009974E3" w:rsidRPr="009921BE" w:rsidRDefault="00425492" w:rsidP="00425492">
            <w:pPr>
              <w:pStyle w:val="ASRTableText"/>
              <w:jc w:val="center"/>
              <w:rPr>
                <w:sz w:val="22"/>
                <w:szCs w:val="22"/>
              </w:rPr>
            </w:pPr>
            <w:r w:rsidRPr="009921BE">
              <w:rPr>
                <w:sz w:val="22"/>
                <w:szCs w:val="22"/>
              </w:rPr>
              <w:t>0.1</w:t>
            </w:r>
          </w:p>
        </w:tc>
      </w:tr>
      <w:tr w:rsidR="009974E3" w:rsidRPr="009921BE" w:rsidTr="00640740">
        <w:trPr>
          <w:cnfStyle w:val="000000100000"/>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Teacher Librarian</w:t>
            </w:r>
          </w:p>
        </w:tc>
        <w:tc>
          <w:tcPr>
            <w:cnfStyle w:val="000010000000"/>
            <w:tcW w:w="1029" w:type="dxa"/>
          </w:tcPr>
          <w:p w:rsidR="009974E3" w:rsidRPr="009921BE" w:rsidRDefault="00425492" w:rsidP="00425492">
            <w:pPr>
              <w:pStyle w:val="ASRTableText"/>
              <w:jc w:val="center"/>
              <w:rPr>
                <w:sz w:val="22"/>
                <w:szCs w:val="22"/>
              </w:rPr>
            </w:pPr>
            <w:r w:rsidRPr="009921BE">
              <w:rPr>
                <w:sz w:val="22"/>
                <w:szCs w:val="22"/>
              </w:rPr>
              <w:t>0.8</w:t>
            </w:r>
          </w:p>
        </w:tc>
      </w:tr>
      <w:tr w:rsidR="009974E3" w:rsidRPr="009921BE" w:rsidTr="00640740">
        <w:trPr>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Counsellor</w:t>
            </w:r>
          </w:p>
        </w:tc>
        <w:tc>
          <w:tcPr>
            <w:cnfStyle w:val="000010000000"/>
            <w:tcW w:w="1029" w:type="dxa"/>
          </w:tcPr>
          <w:p w:rsidR="009974E3" w:rsidRPr="009921BE" w:rsidRDefault="00516D64" w:rsidP="00516D64">
            <w:pPr>
              <w:pStyle w:val="ASRTableText"/>
              <w:jc w:val="center"/>
              <w:rPr>
                <w:sz w:val="22"/>
                <w:szCs w:val="22"/>
              </w:rPr>
            </w:pPr>
            <w:r w:rsidRPr="009921BE">
              <w:rPr>
                <w:sz w:val="22"/>
                <w:szCs w:val="22"/>
              </w:rPr>
              <w:t>0.2</w:t>
            </w:r>
          </w:p>
        </w:tc>
      </w:tr>
      <w:tr w:rsidR="009974E3" w:rsidRPr="009921BE" w:rsidTr="00640740">
        <w:trPr>
          <w:cnfStyle w:val="000000100000"/>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School Administrative &amp; Support Staff</w:t>
            </w:r>
          </w:p>
        </w:tc>
        <w:tc>
          <w:tcPr>
            <w:cnfStyle w:val="000010000000"/>
            <w:tcW w:w="1029" w:type="dxa"/>
          </w:tcPr>
          <w:p w:rsidR="009974E3" w:rsidRPr="009921BE" w:rsidRDefault="00516D64" w:rsidP="00516D64">
            <w:pPr>
              <w:pStyle w:val="ASRTableText"/>
              <w:jc w:val="center"/>
              <w:rPr>
                <w:sz w:val="22"/>
                <w:szCs w:val="22"/>
              </w:rPr>
            </w:pPr>
            <w:r w:rsidRPr="009921BE">
              <w:rPr>
                <w:sz w:val="22"/>
                <w:szCs w:val="22"/>
              </w:rPr>
              <w:t>2.2</w:t>
            </w:r>
          </w:p>
        </w:tc>
      </w:tr>
      <w:tr w:rsidR="009974E3" w:rsidRPr="009921BE" w:rsidTr="00640740">
        <w:trPr>
          <w:trHeight w:hRule="exact" w:val="284"/>
        </w:trPr>
        <w:tc>
          <w:tcPr>
            <w:cnfStyle w:val="001000000000"/>
            <w:tcW w:w="3652" w:type="dxa"/>
          </w:tcPr>
          <w:p w:rsidR="009974E3" w:rsidRPr="009921BE" w:rsidRDefault="009974E3" w:rsidP="00C572CB">
            <w:pPr>
              <w:pStyle w:val="ASRTableText"/>
              <w:rPr>
                <w:sz w:val="22"/>
                <w:szCs w:val="22"/>
              </w:rPr>
            </w:pPr>
            <w:r w:rsidRPr="009921BE">
              <w:rPr>
                <w:sz w:val="22"/>
                <w:szCs w:val="22"/>
              </w:rPr>
              <w:t>Total</w:t>
            </w:r>
          </w:p>
        </w:tc>
        <w:tc>
          <w:tcPr>
            <w:cnfStyle w:val="000010000000"/>
            <w:tcW w:w="1029" w:type="dxa"/>
          </w:tcPr>
          <w:p w:rsidR="009974E3" w:rsidRPr="009921BE" w:rsidRDefault="00516D64" w:rsidP="00516D64">
            <w:pPr>
              <w:pStyle w:val="ASRTableText"/>
              <w:jc w:val="center"/>
              <w:rPr>
                <w:sz w:val="22"/>
                <w:szCs w:val="22"/>
              </w:rPr>
            </w:pPr>
            <w:r w:rsidRPr="009921BE">
              <w:rPr>
                <w:sz w:val="22"/>
                <w:szCs w:val="22"/>
              </w:rPr>
              <w:t>16.3</w:t>
            </w:r>
          </w:p>
        </w:tc>
      </w:tr>
    </w:tbl>
    <w:p w:rsidR="009974E3" w:rsidRPr="009921BE" w:rsidRDefault="009974E3" w:rsidP="00C572CB">
      <w:pPr>
        <w:pStyle w:val="ASRBodyText"/>
      </w:pPr>
      <w:r w:rsidRPr="009921BE">
        <w:t>The National Education Agreement requires schools to report on Indigenous composition of their workforce.</w:t>
      </w:r>
    </w:p>
    <w:p w:rsidR="00E27CE0" w:rsidRPr="009921BE" w:rsidRDefault="00E27CE0" w:rsidP="00FD59D8">
      <w:pPr>
        <w:pStyle w:val="ASRHeading3"/>
        <w:outlineLvl w:val="2"/>
        <w:rPr>
          <w:rFonts w:asciiTheme="minorHAnsi" w:hAnsiTheme="minorHAnsi"/>
          <w:b w:val="0"/>
          <w:sz w:val="22"/>
          <w:szCs w:val="22"/>
        </w:rPr>
      </w:pPr>
      <w:bookmarkStart w:id="14" w:name="_Toc306703575"/>
      <w:r w:rsidRPr="009921BE">
        <w:rPr>
          <w:rFonts w:asciiTheme="minorHAnsi" w:hAnsiTheme="minorHAnsi"/>
          <w:b w:val="0"/>
          <w:sz w:val="22"/>
          <w:szCs w:val="22"/>
        </w:rPr>
        <w:t>Blackheath Public School currently has no Indigenous staff.</w:t>
      </w:r>
    </w:p>
    <w:p w:rsidR="009974E3" w:rsidRPr="009921BE" w:rsidRDefault="009974E3" w:rsidP="00FD59D8">
      <w:pPr>
        <w:pStyle w:val="ASRHeading3"/>
        <w:outlineLvl w:val="2"/>
        <w:rPr>
          <w:rFonts w:asciiTheme="minorHAnsi" w:hAnsiTheme="minorHAnsi"/>
          <w:sz w:val="22"/>
          <w:szCs w:val="22"/>
        </w:rPr>
      </w:pPr>
      <w:r w:rsidRPr="009921BE">
        <w:rPr>
          <w:rFonts w:asciiTheme="minorHAnsi" w:hAnsiTheme="minorHAnsi"/>
          <w:sz w:val="22"/>
          <w:szCs w:val="22"/>
        </w:rPr>
        <w:t>Staff retention</w:t>
      </w:r>
      <w:bookmarkEnd w:id="14"/>
    </w:p>
    <w:p w:rsidR="009974E3" w:rsidRPr="009921BE" w:rsidRDefault="00E93851" w:rsidP="00C572CB">
      <w:pPr>
        <w:pStyle w:val="ASRBodyText"/>
      </w:pPr>
      <w:r>
        <w:t xml:space="preserve">Blackheath Public School has a very stable staff with very few changes in staff over the past four years. Due to </w:t>
      </w:r>
      <w:r w:rsidR="0047587C">
        <w:t>the establishment of a thirteenth class</w:t>
      </w:r>
      <w:r w:rsidR="00E27CE0" w:rsidRPr="009921BE">
        <w:t xml:space="preserve"> Ms Sharon Bird was appointed as a classroom tea</w:t>
      </w:r>
      <w:r w:rsidR="0047587C">
        <w:t>cher and taught a stage 2 class in 2011.</w:t>
      </w:r>
    </w:p>
    <w:p w:rsidR="009974E3" w:rsidRPr="009921BE" w:rsidRDefault="009974E3" w:rsidP="00FD59D8">
      <w:pPr>
        <w:pStyle w:val="ASRHeading3"/>
        <w:outlineLvl w:val="2"/>
        <w:rPr>
          <w:rFonts w:asciiTheme="minorHAnsi" w:hAnsiTheme="minorHAnsi"/>
          <w:sz w:val="22"/>
          <w:szCs w:val="22"/>
        </w:rPr>
      </w:pPr>
      <w:bookmarkStart w:id="15" w:name="_Toc306703576"/>
      <w:r w:rsidRPr="009921BE">
        <w:rPr>
          <w:rFonts w:asciiTheme="minorHAnsi" w:hAnsiTheme="minorHAnsi"/>
          <w:sz w:val="22"/>
          <w:szCs w:val="22"/>
        </w:rPr>
        <w:t>Teacher qualifications</w:t>
      </w:r>
      <w:bookmarkEnd w:id="15"/>
    </w:p>
    <w:p w:rsidR="009974E3" w:rsidRPr="009921BE" w:rsidRDefault="009974E3" w:rsidP="00C572CB">
      <w:pPr>
        <w:pStyle w:val="ASRBodyText"/>
      </w:pPr>
      <w:r w:rsidRPr="009921BE">
        <w:t>All teaching staff meet the professional requirements for teaching in NSW public schools</w:t>
      </w:r>
    </w:p>
    <w:tbl>
      <w:tblPr>
        <w:tblStyle w:val="LightList-Accent21"/>
        <w:tblW w:w="4681" w:type="dxa"/>
        <w:tblLook w:val="00A0"/>
      </w:tblPr>
      <w:tblGrid>
        <w:gridCol w:w="2376"/>
        <w:gridCol w:w="2305"/>
      </w:tblGrid>
      <w:tr w:rsidR="009974E3" w:rsidRPr="009921BE" w:rsidTr="00640740">
        <w:trPr>
          <w:cnfStyle w:val="100000000000"/>
          <w:trHeight w:hRule="exact" w:val="284"/>
        </w:trPr>
        <w:tc>
          <w:tcPr>
            <w:cnfStyle w:val="001000000000"/>
            <w:tcW w:w="2376" w:type="dxa"/>
          </w:tcPr>
          <w:p w:rsidR="009974E3" w:rsidRPr="009921BE" w:rsidRDefault="009974E3" w:rsidP="00C572CB">
            <w:pPr>
              <w:pStyle w:val="ASRTableText"/>
              <w:rPr>
                <w:sz w:val="22"/>
                <w:szCs w:val="22"/>
              </w:rPr>
            </w:pPr>
            <w:r w:rsidRPr="009921BE">
              <w:rPr>
                <w:sz w:val="22"/>
                <w:szCs w:val="22"/>
              </w:rPr>
              <w:t>Qualifications</w:t>
            </w:r>
          </w:p>
        </w:tc>
        <w:tc>
          <w:tcPr>
            <w:cnfStyle w:val="000010000000"/>
            <w:tcW w:w="2305" w:type="dxa"/>
          </w:tcPr>
          <w:p w:rsidR="009974E3" w:rsidRPr="009921BE" w:rsidRDefault="009974E3" w:rsidP="004351B0">
            <w:pPr>
              <w:pStyle w:val="ASRTableText"/>
              <w:jc w:val="center"/>
              <w:rPr>
                <w:sz w:val="22"/>
                <w:szCs w:val="22"/>
              </w:rPr>
            </w:pPr>
            <w:r w:rsidRPr="009921BE">
              <w:rPr>
                <w:sz w:val="22"/>
                <w:szCs w:val="22"/>
              </w:rPr>
              <w:t>% of staff</w:t>
            </w:r>
          </w:p>
        </w:tc>
      </w:tr>
      <w:tr w:rsidR="009974E3" w:rsidRPr="009921BE" w:rsidTr="00640740">
        <w:trPr>
          <w:cnfStyle w:val="000000100000"/>
          <w:trHeight w:hRule="exact" w:val="284"/>
        </w:trPr>
        <w:tc>
          <w:tcPr>
            <w:cnfStyle w:val="001000000000"/>
            <w:tcW w:w="2376" w:type="dxa"/>
          </w:tcPr>
          <w:p w:rsidR="009974E3" w:rsidRPr="009921BE" w:rsidRDefault="009974E3" w:rsidP="00C572CB">
            <w:pPr>
              <w:pStyle w:val="ASRTableText"/>
              <w:rPr>
                <w:sz w:val="22"/>
                <w:szCs w:val="22"/>
              </w:rPr>
            </w:pPr>
            <w:r w:rsidRPr="009921BE">
              <w:rPr>
                <w:sz w:val="22"/>
                <w:szCs w:val="22"/>
              </w:rPr>
              <w:t>Degree or Diploma</w:t>
            </w:r>
          </w:p>
        </w:tc>
        <w:tc>
          <w:tcPr>
            <w:cnfStyle w:val="000010000000"/>
            <w:tcW w:w="2305" w:type="dxa"/>
          </w:tcPr>
          <w:p w:rsidR="009974E3" w:rsidRPr="009921BE" w:rsidRDefault="005D7172" w:rsidP="005D7172">
            <w:pPr>
              <w:pStyle w:val="ASRTableText"/>
              <w:jc w:val="center"/>
              <w:rPr>
                <w:sz w:val="22"/>
                <w:szCs w:val="22"/>
              </w:rPr>
            </w:pPr>
            <w:r w:rsidRPr="009921BE">
              <w:rPr>
                <w:sz w:val="22"/>
                <w:szCs w:val="22"/>
              </w:rPr>
              <w:t>100</w:t>
            </w:r>
          </w:p>
        </w:tc>
      </w:tr>
      <w:tr w:rsidR="009974E3" w:rsidRPr="009921BE" w:rsidTr="00640740">
        <w:trPr>
          <w:trHeight w:hRule="exact" w:val="284"/>
        </w:trPr>
        <w:tc>
          <w:tcPr>
            <w:cnfStyle w:val="001000000000"/>
            <w:tcW w:w="2376" w:type="dxa"/>
          </w:tcPr>
          <w:p w:rsidR="009974E3" w:rsidRPr="009921BE" w:rsidRDefault="009974E3" w:rsidP="00C572CB">
            <w:pPr>
              <w:pStyle w:val="ASRTableText"/>
              <w:rPr>
                <w:sz w:val="22"/>
                <w:szCs w:val="22"/>
              </w:rPr>
            </w:pPr>
            <w:r w:rsidRPr="009921BE">
              <w:rPr>
                <w:sz w:val="22"/>
                <w:szCs w:val="22"/>
              </w:rPr>
              <w:t>Postgraduate</w:t>
            </w:r>
          </w:p>
        </w:tc>
        <w:tc>
          <w:tcPr>
            <w:cnfStyle w:val="000010000000"/>
            <w:tcW w:w="2305" w:type="dxa"/>
          </w:tcPr>
          <w:p w:rsidR="009974E3" w:rsidRPr="009921BE" w:rsidRDefault="00AB5E26" w:rsidP="00AB5E26">
            <w:pPr>
              <w:pStyle w:val="ASRTableText"/>
              <w:jc w:val="center"/>
              <w:rPr>
                <w:sz w:val="22"/>
                <w:szCs w:val="22"/>
              </w:rPr>
            </w:pPr>
            <w:r w:rsidRPr="009921BE">
              <w:rPr>
                <w:sz w:val="22"/>
                <w:szCs w:val="22"/>
              </w:rPr>
              <w:t>30</w:t>
            </w:r>
          </w:p>
        </w:tc>
      </w:tr>
    </w:tbl>
    <w:p w:rsidR="00E27CE0" w:rsidRPr="009921BE" w:rsidRDefault="00E27CE0" w:rsidP="00FD59D8">
      <w:pPr>
        <w:pStyle w:val="ASRHeading2"/>
        <w:outlineLvl w:val="1"/>
        <w:rPr>
          <w:sz w:val="22"/>
        </w:rPr>
      </w:pPr>
      <w:bookmarkStart w:id="16" w:name="_Toc306703577"/>
    </w:p>
    <w:p w:rsidR="00C7340F" w:rsidRDefault="00557A15" w:rsidP="00FD59D8">
      <w:pPr>
        <w:pStyle w:val="ASRHeading2"/>
        <w:outlineLvl w:val="1"/>
        <w:rPr>
          <w:sz w:val="22"/>
        </w:rPr>
      </w:pPr>
      <w:r>
        <w:rPr>
          <w:noProof/>
          <w:sz w:val="22"/>
          <w:lang w:val="en-AU" w:eastAsia="en-AU" w:bidi="ar-SA"/>
        </w:rPr>
        <w:drawing>
          <wp:inline distT="0" distB="0" distL="0" distR="0">
            <wp:extent cx="2835275" cy="1886020"/>
            <wp:effectExtent l="19050" t="0" r="3175" b="0"/>
            <wp:docPr id="20" name="Picture 7" descr="C:\Documents and Settings\Staffuser\Desktop\Promotions\DSC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affuser\Desktop\Promotions\DSC_5500.jpg"/>
                    <pic:cNvPicPr>
                      <a:picLocks noChangeAspect="1" noChangeArrowheads="1"/>
                    </pic:cNvPicPr>
                  </pic:nvPicPr>
                  <pic:blipFill>
                    <a:blip r:embed="rId16" cstate="print"/>
                    <a:srcRect/>
                    <a:stretch>
                      <a:fillRect/>
                    </a:stretch>
                  </pic:blipFill>
                  <pic:spPr bwMode="auto">
                    <a:xfrm>
                      <a:off x="0" y="0"/>
                      <a:ext cx="2835275" cy="1886020"/>
                    </a:xfrm>
                    <a:prstGeom prst="rect">
                      <a:avLst/>
                    </a:prstGeom>
                    <a:noFill/>
                    <a:ln w="9525">
                      <a:noFill/>
                      <a:miter lim="800000"/>
                      <a:headEnd/>
                      <a:tailEnd/>
                    </a:ln>
                  </pic:spPr>
                </pic:pic>
              </a:graphicData>
            </a:graphic>
          </wp:inline>
        </w:drawing>
      </w:r>
    </w:p>
    <w:p w:rsidR="009974E3" w:rsidRPr="009921BE" w:rsidRDefault="009974E3" w:rsidP="00FD59D8">
      <w:pPr>
        <w:pStyle w:val="ASRHeading2"/>
        <w:outlineLvl w:val="1"/>
        <w:rPr>
          <w:sz w:val="22"/>
        </w:rPr>
      </w:pPr>
      <w:r w:rsidRPr="009921BE">
        <w:rPr>
          <w:sz w:val="22"/>
        </w:rPr>
        <w:lastRenderedPageBreak/>
        <w:t>Financial summary</w:t>
      </w:r>
      <w:bookmarkEnd w:id="16"/>
    </w:p>
    <w:p w:rsidR="00516D64" w:rsidRPr="009921BE" w:rsidRDefault="009974E3" w:rsidP="00FB3071">
      <w:pPr>
        <w:pStyle w:val="ASRBodyText"/>
      </w:pPr>
      <w:r w:rsidRPr="009921BE">
        <w:t>This summary covers funds for operating costs and does not involve expenditure areas such as permanent salaries, building and major maintenance</w:t>
      </w:r>
      <w:r w:rsidR="005B5D58" w:rsidRPr="009921BE">
        <w:t>.</w:t>
      </w:r>
    </w:p>
    <w:p w:rsidR="00516D64" w:rsidRPr="009921BE" w:rsidRDefault="00516D64" w:rsidP="00FB3071">
      <w:pPr>
        <w:pStyle w:val="ASRBodyText"/>
      </w:pP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Date of financial summary                30/11/2011</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rPr>
          <w:b/>
          <w:i/>
        </w:rPr>
      </w:pPr>
      <w:r w:rsidRPr="009921BE">
        <w:rPr>
          <w:b/>
          <w:i/>
        </w:rPr>
        <w:t>Income                                                     $</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Balance brought forward                     </w:t>
      </w:r>
      <w:r w:rsidR="009921BE">
        <w:t xml:space="preserve">    </w:t>
      </w:r>
      <w:r w:rsidRPr="009921BE">
        <w:t xml:space="preserve"> </w:t>
      </w:r>
      <w:r w:rsidR="009921BE">
        <w:t xml:space="preserve">  78351.37</w:t>
      </w:r>
      <w:r w:rsidRPr="009921BE">
        <w:t xml:space="preserve">  </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Global </w:t>
      </w:r>
      <w:r w:rsidR="009921BE">
        <w:t xml:space="preserve">                                                          153157.35</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Tied funds                                                    </w:t>
      </w:r>
      <w:r w:rsidR="009921BE">
        <w:t xml:space="preserve">  75677.11</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School &amp;community sources                </w:t>
      </w:r>
      <w:r w:rsidR="009921BE">
        <w:t xml:space="preserve">  </w:t>
      </w:r>
      <w:r w:rsidRPr="009921BE">
        <w:t xml:space="preserve"> </w:t>
      </w:r>
      <w:r w:rsidR="009921BE">
        <w:t>146560.91</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Interest                                  </w:t>
      </w:r>
      <w:r w:rsidR="009921BE">
        <w:t xml:space="preserve">                         4866.46</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Trust receipts                      </w:t>
      </w:r>
      <w:r w:rsidR="009921BE">
        <w:t xml:space="preserve">                           9324.36</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rPr>
          <w:u w:val="single"/>
        </w:rPr>
      </w:pPr>
      <w:r w:rsidRPr="009921BE">
        <w:t>Canteen                                                      _____</w:t>
      </w:r>
      <w:r w:rsidRPr="009921BE">
        <w:rPr>
          <w:u w:val="single"/>
        </w:rPr>
        <w:t>0.00</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rPr>
          <w:dstrike/>
          <w:u w:val="single"/>
        </w:rPr>
      </w:pPr>
      <w:r w:rsidRPr="009921BE">
        <w:rPr>
          <w:b/>
          <w:i/>
        </w:rPr>
        <w:t xml:space="preserve">Total income                                            </w:t>
      </w:r>
      <w:r w:rsidR="009921BE">
        <w:rPr>
          <w:b/>
          <w:i/>
        </w:rPr>
        <w:t xml:space="preserve"> </w:t>
      </w:r>
      <w:r w:rsidRPr="009921BE">
        <w:rPr>
          <w:b/>
          <w:i/>
        </w:rPr>
        <w:t xml:space="preserve"> </w:t>
      </w:r>
      <w:r w:rsidR="009921BE">
        <w:rPr>
          <w:u w:val="single"/>
        </w:rPr>
        <w:t xml:space="preserve">467937.56  </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rPr>
          <w:b/>
          <w:i/>
        </w:rPr>
      </w:pPr>
      <w:r w:rsidRPr="009921BE">
        <w:rPr>
          <w:b/>
          <w:i/>
        </w:rPr>
        <w:t>Expenditure</w:t>
      </w:r>
    </w:p>
    <w:p w:rsidR="009302E7" w:rsidRDefault="00516D64" w:rsidP="00516D64">
      <w:pPr>
        <w:pStyle w:val="ASRBodyText"/>
        <w:pBdr>
          <w:top w:val="single" w:sz="6" w:space="1" w:color="auto"/>
          <w:left w:val="single" w:sz="6" w:space="4" w:color="auto"/>
          <w:bottom w:val="single" w:sz="6" w:space="1" w:color="auto"/>
          <w:right w:val="single" w:sz="6" w:space="4" w:color="auto"/>
        </w:pBdr>
      </w:pPr>
      <w:r w:rsidRPr="009921BE">
        <w:t>Teaching and Learning</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 Key </w:t>
      </w:r>
      <w:r w:rsidR="00516D64" w:rsidRPr="009921BE">
        <w:t xml:space="preserve">learning areas                                 </w:t>
      </w:r>
      <w:r>
        <w:t xml:space="preserve">     21763.55</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 </w:t>
      </w:r>
      <w:r w:rsidR="00516D64" w:rsidRPr="009921BE">
        <w:t xml:space="preserve">Excursions                                           </w:t>
      </w:r>
      <w:r>
        <w:t xml:space="preserve">         47487.85</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 Extracurricular dissections                   </w:t>
      </w:r>
      <w:r w:rsidR="009302E7">
        <w:t xml:space="preserve">    26756.07</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Library                                 </w:t>
      </w:r>
      <w:r w:rsidR="009302E7">
        <w:t xml:space="preserve">                            2759.77</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Tied </w:t>
      </w:r>
      <w:r w:rsidR="00516D64" w:rsidRPr="009921BE">
        <w:t xml:space="preserve">funds                         </w:t>
      </w:r>
      <w:r>
        <w:t xml:space="preserve">                            91404.04</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Short term </w:t>
      </w:r>
      <w:r w:rsidR="00516D64" w:rsidRPr="009921BE">
        <w:t xml:space="preserve">Relief        </w:t>
      </w:r>
      <w:r>
        <w:t xml:space="preserve">                                 56313.14</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Administration </w:t>
      </w:r>
      <w:r w:rsidR="00516D64" w:rsidRPr="009921BE">
        <w:t>&amp;</w:t>
      </w:r>
      <w:r>
        <w:t xml:space="preserve"> </w:t>
      </w:r>
      <w:r w:rsidR="00516D64" w:rsidRPr="009921BE">
        <w:t xml:space="preserve">office </w:t>
      </w:r>
      <w:r>
        <w:t xml:space="preserve">                             88672.27</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School-operated </w:t>
      </w:r>
      <w:r w:rsidR="00516D64" w:rsidRPr="009921BE">
        <w:t xml:space="preserve">canteen       </w:t>
      </w:r>
      <w:r>
        <w:t xml:space="preserve">                             </w:t>
      </w:r>
      <w:r w:rsidR="00516D64" w:rsidRPr="009921BE">
        <w:t>0.00</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Utilities                             </w:t>
      </w:r>
      <w:r w:rsidR="009302E7">
        <w:t xml:space="preserve">                              38244.40</w:t>
      </w:r>
    </w:p>
    <w:p w:rsidR="00516D64" w:rsidRPr="009921BE" w:rsidRDefault="00516D64" w:rsidP="00516D64">
      <w:pPr>
        <w:pStyle w:val="ASRBodyText"/>
        <w:pBdr>
          <w:top w:val="single" w:sz="6" w:space="1" w:color="auto"/>
          <w:left w:val="single" w:sz="6" w:space="4" w:color="auto"/>
          <w:bottom w:val="single" w:sz="6" w:space="1" w:color="auto"/>
          <w:right w:val="single" w:sz="6" w:space="4" w:color="auto"/>
        </w:pBdr>
      </w:pPr>
      <w:r w:rsidRPr="009921BE">
        <w:t xml:space="preserve">Maintenance                </w:t>
      </w:r>
      <w:r w:rsidR="009302E7">
        <w:t xml:space="preserve">                                 15795.46</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pPr>
      <w:r>
        <w:t xml:space="preserve">Trust </w:t>
      </w:r>
      <w:r w:rsidR="00516D64" w:rsidRPr="009921BE">
        <w:t xml:space="preserve">accounts                </w:t>
      </w:r>
      <w:r>
        <w:t xml:space="preserve">                              13739.23</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rPr>
          <w:u w:val="single"/>
        </w:rPr>
      </w:pPr>
      <w:r>
        <w:t xml:space="preserve">Capital </w:t>
      </w:r>
      <w:r w:rsidR="00516D64" w:rsidRPr="009921BE">
        <w:t xml:space="preserve">programs           </w:t>
      </w:r>
      <w:r>
        <w:t xml:space="preserve">                                 5091.50</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rPr>
          <w:u w:val="single"/>
        </w:rPr>
      </w:pPr>
      <w:r>
        <w:rPr>
          <w:b/>
          <w:i/>
        </w:rPr>
        <w:t>Total</w:t>
      </w:r>
      <w:r w:rsidR="00516D64" w:rsidRPr="009921BE">
        <w:rPr>
          <w:b/>
          <w:i/>
        </w:rPr>
        <w:t>Expenditure</w:t>
      </w:r>
      <w:r w:rsidR="00516D64" w:rsidRPr="009921BE">
        <w:t xml:space="preserve">                                     </w:t>
      </w:r>
      <w:r>
        <w:rPr>
          <w:u w:val="single"/>
        </w:rPr>
        <w:t xml:space="preserve"> 409196.64</w:t>
      </w:r>
    </w:p>
    <w:p w:rsidR="00516D64" w:rsidRPr="009921BE" w:rsidRDefault="009302E7" w:rsidP="00516D64">
      <w:pPr>
        <w:pStyle w:val="ASRBodyText"/>
        <w:pBdr>
          <w:top w:val="single" w:sz="6" w:space="1" w:color="auto"/>
          <w:left w:val="single" w:sz="6" w:space="4" w:color="auto"/>
          <w:bottom w:val="single" w:sz="6" w:space="1" w:color="auto"/>
          <w:right w:val="single" w:sz="6" w:space="4" w:color="auto"/>
        </w:pBdr>
        <w:rPr>
          <w:u w:val="single"/>
        </w:rPr>
      </w:pPr>
      <w:r>
        <w:rPr>
          <w:b/>
        </w:rPr>
        <w:t xml:space="preserve">Balance carried  </w:t>
      </w:r>
      <w:r w:rsidR="00516D64" w:rsidRPr="009921BE">
        <w:rPr>
          <w:b/>
        </w:rPr>
        <w:t xml:space="preserve">forward       </w:t>
      </w:r>
      <w:r>
        <w:rPr>
          <w:b/>
        </w:rPr>
        <w:t xml:space="preserve">  </w:t>
      </w:r>
      <w:r w:rsidR="00516D64" w:rsidRPr="009921BE">
        <w:rPr>
          <w:b/>
        </w:rPr>
        <w:t xml:space="preserve">                 </w:t>
      </w:r>
      <w:r>
        <w:rPr>
          <w:u w:val="single"/>
        </w:rPr>
        <w:t>58740.92</w:t>
      </w:r>
    </w:p>
    <w:p w:rsidR="00284B6B" w:rsidRPr="009921BE" w:rsidRDefault="00284B6B" w:rsidP="00FB3071">
      <w:pPr>
        <w:pStyle w:val="ASRBodyText"/>
      </w:pPr>
    </w:p>
    <w:p w:rsidR="00E27CE0" w:rsidRPr="009921BE" w:rsidRDefault="009974E3" w:rsidP="00CB656C">
      <w:pPr>
        <w:pStyle w:val="ASRBodyText"/>
      </w:pPr>
      <w:r w:rsidRPr="009921BE">
        <w:t>A full copy of the school’s 2011 financial statement is tabled at the annual general meetings of the School Council and/or the parent body. Further details concerning the statement can be obtained by contacting the school.</w:t>
      </w:r>
      <w:bookmarkStart w:id="17" w:name="_Toc306703578"/>
    </w:p>
    <w:p w:rsidR="009974E3" w:rsidRPr="009921BE" w:rsidRDefault="009974E3" w:rsidP="00453C5C">
      <w:pPr>
        <w:pStyle w:val="ASRHeading1"/>
      </w:pPr>
      <w:r w:rsidRPr="009921BE">
        <w:lastRenderedPageBreak/>
        <w:t>School performance 2011</w:t>
      </w:r>
      <w:bookmarkEnd w:id="17"/>
    </w:p>
    <w:p w:rsidR="00AB5E26" w:rsidRPr="009921BE" w:rsidRDefault="009974E3" w:rsidP="00AB5E26">
      <w:pPr>
        <w:pStyle w:val="ASRHeading2"/>
        <w:jc w:val="center"/>
        <w:outlineLvl w:val="1"/>
        <w:rPr>
          <w:sz w:val="22"/>
        </w:rPr>
      </w:pPr>
      <w:bookmarkStart w:id="18" w:name="_Toc306703579"/>
      <w:r w:rsidRPr="009921BE">
        <w:rPr>
          <w:sz w:val="22"/>
        </w:rPr>
        <w:t>Achieveme</w:t>
      </w:r>
      <w:bookmarkStart w:id="19" w:name="_Toc306703583"/>
      <w:bookmarkEnd w:id="18"/>
      <w:r w:rsidR="00AB5E26" w:rsidRPr="009921BE">
        <w:rPr>
          <w:sz w:val="22"/>
        </w:rPr>
        <w:t>nts</w:t>
      </w:r>
    </w:p>
    <w:p w:rsidR="009974E3" w:rsidRPr="009921BE" w:rsidRDefault="009974E3" w:rsidP="00FD59D8">
      <w:pPr>
        <w:pStyle w:val="ASRHeading3"/>
        <w:outlineLvl w:val="2"/>
        <w:rPr>
          <w:rFonts w:asciiTheme="minorHAnsi" w:hAnsiTheme="minorHAnsi"/>
          <w:sz w:val="22"/>
          <w:szCs w:val="22"/>
        </w:rPr>
      </w:pPr>
      <w:r w:rsidRPr="009921BE">
        <w:rPr>
          <w:rFonts w:asciiTheme="minorHAnsi" w:hAnsiTheme="minorHAnsi"/>
          <w:sz w:val="22"/>
          <w:szCs w:val="22"/>
        </w:rPr>
        <w:t>Academic</w:t>
      </w:r>
      <w:bookmarkEnd w:id="19"/>
    </w:p>
    <w:p w:rsidR="009974E3" w:rsidRPr="009921BE" w:rsidRDefault="009974E3" w:rsidP="004351B0">
      <w:pPr>
        <w:pStyle w:val="ASRBodyText"/>
      </w:pPr>
      <w:r w:rsidRPr="009921BE">
        <w:t>In the National Assessment Program, the results across the Years 3, 5, 7 and 9 literacy and numeracy assessments are reported on a scale from Band 1 to Band 10.</w:t>
      </w:r>
    </w:p>
    <w:p w:rsidR="009974E3" w:rsidRPr="009921BE" w:rsidRDefault="009974E3" w:rsidP="004351B0">
      <w:pPr>
        <w:pStyle w:val="ASRBodyText"/>
      </w:pPr>
      <w:r w:rsidRPr="009921BE">
        <w:t>The achievement scale represents increasing levels of skills and understandings demonstrated in these assessments.</w:t>
      </w:r>
    </w:p>
    <w:p w:rsidR="009974E3" w:rsidRPr="009921BE" w:rsidRDefault="009974E3" w:rsidP="004351B0">
      <w:pPr>
        <w:pStyle w:val="ASRBodyText"/>
      </w:pPr>
      <w:r w:rsidRPr="009921BE">
        <w:t>Yr 3: from Band 1 (lowest) to Band 6 (highest for Year 3)</w:t>
      </w:r>
    </w:p>
    <w:p w:rsidR="009974E3" w:rsidRPr="009921BE" w:rsidRDefault="009974E3" w:rsidP="004351B0">
      <w:pPr>
        <w:pStyle w:val="ASRBodyText"/>
      </w:pPr>
      <w:r w:rsidRPr="009921BE">
        <w:t>Yr 5: from Band 3 (lowest) to Band 8 (highest for Year 5)</w:t>
      </w:r>
    </w:p>
    <w:p w:rsidR="009974E3" w:rsidRPr="009921BE" w:rsidRDefault="009974E3" w:rsidP="00FD59D8">
      <w:pPr>
        <w:pStyle w:val="ASRHeading3"/>
        <w:outlineLvl w:val="2"/>
        <w:rPr>
          <w:rFonts w:asciiTheme="minorHAnsi" w:hAnsiTheme="minorHAnsi"/>
          <w:sz w:val="22"/>
          <w:szCs w:val="22"/>
        </w:rPr>
      </w:pPr>
      <w:bookmarkStart w:id="20" w:name="_Toc306703584"/>
      <w:r w:rsidRPr="009921BE">
        <w:rPr>
          <w:rFonts w:asciiTheme="minorHAnsi" w:hAnsiTheme="minorHAnsi"/>
          <w:sz w:val="22"/>
          <w:szCs w:val="22"/>
        </w:rPr>
        <w:t>Literacy – NAPLAN Year 3</w:t>
      </w:r>
      <w:bookmarkEnd w:id="20"/>
    </w:p>
    <w:p w:rsidR="00EA7B56" w:rsidRPr="009921BE" w:rsidRDefault="00EA7B56" w:rsidP="004351B0">
      <w:pPr>
        <w:pStyle w:val="ASRBodyText"/>
      </w:pPr>
      <w:r w:rsidRPr="009921BE">
        <w:rPr>
          <w:noProof/>
          <w:lang w:val="en-AU" w:eastAsia="en-AU" w:bidi="ar-SA"/>
        </w:rPr>
        <w:drawing>
          <wp:inline distT="0" distB="0" distL="0" distR="0">
            <wp:extent cx="2820926" cy="3304383"/>
            <wp:effectExtent l="19050" t="0" r="17524"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7B56" w:rsidRPr="009921BE" w:rsidRDefault="00EA7B56" w:rsidP="004351B0">
      <w:pPr>
        <w:pStyle w:val="ASRBodyText"/>
      </w:pPr>
    </w:p>
    <w:p w:rsidR="00AB5E26" w:rsidRPr="009921BE" w:rsidRDefault="00AB5E26" w:rsidP="00AB5E26">
      <w:pPr>
        <w:pStyle w:val="ASRBodyText"/>
        <w:rPr>
          <w:rFonts w:cs="Arial"/>
        </w:rPr>
      </w:pPr>
      <w:r w:rsidRPr="009921BE">
        <w:rPr>
          <w:rFonts w:cs="Arial"/>
        </w:rPr>
        <w:t>In 2011</w:t>
      </w:r>
      <w:r w:rsidR="00091D69" w:rsidRPr="009921BE">
        <w:rPr>
          <w:rFonts w:cs="Arial"/>
        </w:rPr>
        <w:t>, 36 year 3</w:t>
      </w:r>
      <w:r w:rsidRPr="009921BE">
        <w:rPr>
          <w:rFonts w:cs="Arial"/>
        </w:rPr>
        <w:t xml:space="preserve"> students sat for the NAPLAN Test in literacy. This year our results were above state averages. 79% of our students were in the top three bands.  </w:t>
      </w:r>
    </w:p>
    <w:p w:rsidR="00AB5E26" w:rsidRPr="009921BE" w:rsidRDefault="00AB5E26" w:rsidP="00AB5E26">
      <w:pPr>
        <w:pStyle w:val="ASRBodyText"/>
        <w:rPr>
          <w:rFonts w:cs="Arial"/>
        </w:rPr>
      </w:pPr>
      <w:r w:rsidRPr="009921BE">
        <w:rPr>
          <w:rFonts w:cs="Arial"/>
        </w:rPr>
        <w:t>Year</w:t>
      </w:r>
      <w:r w:rsidR="00091D69" w:rsidRPr="009921BE">
        <w:rPr>
          <w:rFonts w:cs="Arial"/>
        </w:rPr>
        <w:t xml:space="preserve"> 3 </w:t>
      </w:r>
      <w:r w:rsidR="001A3FF2">
        <w:rPr>
          <w:rFonts w:cs="Arial"/>
        </w:rPr>
        <w:t xml:space="preserve">students </w:t>
      </w:r>
      <w:r w:rsidRPr="009921BE">
        <w:rPr>
          <w:rFonts w:cs="Arial"/>
        </w:rPr>
        <w:t>were above that of the state in reading, spelling, grammar and punctuation. The boy’s literacy results indicate they perform above that of their state peers, and the girl’s results are similar to the state average.</w:t>
      </w:r>
    </w:p>
    <w:p w:rsidR="00AB5E26" w:rsidRPr="009921BE" w:rsidRDefault="00AB5E26" w:rsidP="004351B0">
      <w:pPr>
        <w:pStyle w:val="ASRBodyText"/>
      </w:pPr>
    </w:p>
    <w:p w:rsidR="00EA7B56" w:rsidRPr="009921BE" w:rsidRDefault="00EF17D7" w:rsidP="004351B0">
      <w:pPr>
        <w:pStyle w:val="ASRBodyText"/>
      </w:pPr>
      <w:r w:rsidRPr="009921BE">
        <w:rPr>
          <w:noProof/>
          <w:lang w:val="en-AU" w:eastAsia="en-AU" w:bidi="ar-SA"/>
        </w:rPr>
        <w:lastRenderedPageBreak/>
        <w:drawing>
          <wp:inline distT="0" distB="0" distL="0" distR="0">
            <wp:extent cx="2815802" cy="3304383"/>
            <wp:effectExtent l="19050" t="0" r="22648"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17D7" w:rsidRPr="009921BE" w:rsidRDefault="00EF17D7" w:rsidP="004351B0">
      <w:pPr>
        <w:pStyle w:val="ASRBodyText"/>
      </w:pPr>
    </w:p>
    <w:p w:rsidR="00AB5E26" w:rsidRPr="009921BE" w:rsidRDefault="00AB5E26" w:rsidP="00AB5E26">
      <w:pPr>
        <w:pStyle w:val="ASRBodyText"/>
        <w:rPr>
          <w:rFonts w:cs="Arial"/>
        </w:rPr>
      </w:pPr>
      <w:r w:rsidRPr="009921BE">
        <w:rPr>
          <w:rFonts w:cs="Arial"/>
        </w:rPr>
        <w:t xml:space="preserve">In 2011, </w:t>
      </w:r>
      <w:r w:rsidR="00091D69" w:rsidRPr="009921BE">
        <w:rPr>
          <w:rFonts w:cs="Arial"/>
        </w:rPr>
        <w:t xml:space="preserve">36 year 3 </w:t>
      </w:r>
      <w:r w:rsidRPr="009921BE">
        <w:rPr>
          <w:rFonts w:cs="Arial"/>
        </w:rPr>
        <w:t xml:space="preserve">students sat for the NAPLAN test in </w:t>
      </w:r>
      <w:r w:rsidR="00F1034E">
        <w:rPr>
          <w:rFonts w:cs="Arial"/>
        </w:rPr>
        <w:t>writing. This year in writing 50</w:t>
      </w:r>
      <w:r w:rsidRPr="009921BE">
        <w:rPr>
          <w:rFonts w:cs="Arial"/>
        </w:rPr>
        <w:t>% of students are performin</w:t>
      </w:r>
      <w:r w:rsidR="00F1034E">
        <w:rPr>
          <w:rFonts w:cs="Arial"/>
        </w:rPr>
        <w:t>g in the proficient range and 100</w:t>
      </w:r>
      <w:r w:rsidRPr="009921BE">
        <w:rPr>
          <w:rFonts w:cs="Arial"/>
        </w:rPr>
        <w:t>% of students are performing at or above National minimum standards</w:t>
      </w:r>
    </w:p>
    <w:p w:rsidR="00EF17D7" w:rsidRPr="009921BE" w:rsidRDefault="00EF17D7" w:rsidP="004351B0">
      <w:pPr>
        <w:pStyle w:val="ASRBodyText"/>
      </w:pPr>
    </w:p>
    <w:p w:rsidR="00EF17D7" w:rsidRPr="009921BE" w:rsidRDefault="00EF17D7" w:rsidP="004351B0">
      <w:pPr>
        <w:pStyle w:val="ASRBodyText"/>
      </w:pPr>
    </w:p>
    <w:p w:rsidR="00EF17D7" w:rsidRPr="009921BE" w:rsidRDefault="00EF17D7" w:rsidP="004351B0">
      <w:pPr>
        <w:pStyle w:val="ASRBodyText"/>
      </w:pPr>
      <w:r w:rsidRPr="009921BE">
        <w:rPr>
          <w:noProof/>
          <w:lang w:val="en-AU" w:eastAsia="en-AU" w:bidi="ar-SA"/>
        </w:rPr>
        <w:drawing>
          <wp:inline distT="0" distB="0" distL="0" distR="0">
            <wp:extent cx="2830510" cy="3304383"/>
            <wp:effectExtent l="19050" t="0" r="2699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17D7" w:rsidRPr="009921BE" w:rsidRDefault="00EF17D7" w:rsidP="004351B0">
      <w:pPr>
        <w:pStyle w:val="ASRBodyText"/>
      </w:pPr>
    </w:p>
    <w:p w:rsidR="00AB5E26" w:rsidRPr="009921BE" w:rsidRDefault="00AB5E26" w:rsidP="00AB5E26">
      <w:pPr>
        <w:pStyle w:val="ASRBodyText"/>
        <w:rPr>
          <w:rFonts w:cs="Arial"/>
        </w:rPr>
      </w:pPr>
    </w:p>
    <w:p w:rsidR="00EF17D7" w:rsidRPr="009921BE" w:rsidRDefault="00EF17D7" w:rsidP="004351B0">
      <w:pPr>
        <w:pStyle w:val="ASRBodyText"/>
      </w:pPr>
    </w:p>
    <w:p w:rsidR="009974E3" w:rsidRPr="009921BE" w:rsidRDefault="009974E3" w:rsidP="00FD59D8">
      <w:pPr>
        <w:pStyle w:val="ASRHeading3"/>
        <w:outlineLvl w:val="2"/>
        <w:rPr>
          <w:rFonts w:asciiTheme="minorHAnsi" w:hAnsiTheme="minorHAnsi"/>
          <w:sz w:val="22"/>
          <w:szCs w:val="22"/>
        </w:rPr>
      </w:pPr>
      <w:bookmarkStart w:id="21" w:name="_Toc306703585"/>
      <w:r w:rsidRPr="009921BE">
        <w:rPr>
          <w:rFonts w:asciiTheme="minorHAnsi" w:hAnsiTheme="minorHAnsi"/>
          <w:sz w:val="22"/>
          <w:szCs w:val="22"/>
        </w:rPr>
        <w:lastRenderedPageBreak/>
        <w:t>Numeracy – NAPLAN Year 3</w:t>
      </w:r>
      <w:bookmarkEnd w:id="21"/>
    </w:p>
    <w:p w:rsidR="00AB5E26" w:rsidRPr="009921BE" w:rsidRDefault="00AB5E26" w:rsidP="00AB5E26">
      <w:pPr>
        <w:pStyle w:val="ASRBodyText"/>
        <w:rPr>
          <w:rFonts w:cs="Arial"/>
        </w:rPr>
      </w:pPr>
      <w:r w:rsidRPr="009921BE">
        <w:rPr>
          <w:rFonts w:cs="Arial"/>
        </w:rPr>
        <w:t>In 2011,</w:t>
      </w:r>
      <w:r w:rsidR="00E61838">
        <w:rPr>
          <w:rFonts w:cs="Arial"/>
        </w:rPr>
        <w:t xml:space="preserve"> </w:t>
      </w:r>
      <w:r w:rsidR="00091D69" w:rsidRPr="009921BE">
        <w:rPr>
          <w:rFonts w:cs="Arial"/>
        </w:rPr>
        <w:t>36 year 3</w:t>
      </w:r>
      <w:r w:rsidRPr="009921BE">
        <w:rPr>
          <w:rFonts w:cs="Arial"/>
        </w:rPr>
        <w:t xml:space="preserve"> students sat for the NAPLAN test in nu</w:t>
      </w:r>
      <w:r w:rsidR="00E61838">
        <w:rPr>
          <w:rFonts w:cs="Arial"/>
        </w:rPr>
        <w:t>meracy. This year in numeracy 28</w:t>
      </w:r>
      <w:r w:rsidRPr="009921BE">
        <w:rPr>
          <w:rFonts w:cs="Arial"/>
        </w:rPr>
        <w:t>% of students are performin</w:t>
      </w:r>
      <w:r w:rsidR="00E61838">
        <w:rPr>
          <w:rFonts w:cs="Arial"/>
        </w:rPr>
        <w:t>g in the proficient range and 94.4</w:t>
      </w:r>
      <w:r w:rsidRPr="009921BE">
        <w:rPr>
          <w:rFonts w:cs="Arial"/>
        </w:rPr>
        <w:t>% of students are performing at or above National minimum standards.</w:t>
      </w:r>
    </w:p>
    <w:p w:rsidR="00AB5E26" w:rsidRPr="009921BE" w:rsidRDefault="00AB5E26" w:rsidP="00FD59D8">
      <w:pPr>
        <w:pStyle w:val="ASRHeading3"/>
        <w:outlineLvl w:val="2"/>
        <w:rPr>
          <w:rFonts w:asciiTheme="minorHAnsi" w:hAnsiTheme="minorHAnsi"/>
          <w:sz w:val="22"/>
          <w:szCs w:val="22"/>
        </w:rPr>
      </w:pPr>
    </w:p>
    <w:p w:rsidR="00EF17D7" w:rsidRPr="009921BE" w:rsidRDefault="00EF17D7" w:rsidP="004351B0">
      <w:pPr>
        <w:pStyle w:val="ASRBodyText"/>
      </w:pPr>
      <w:r w:rsidRPr="009921BE">
        <w:rPr>
          <w:noProof/>
          <w:lang w:val="en-AU" w:eastAsia="en-AU" w:bidi="ar-SA"/>
        </w:rPr>
        <w:drawing>
          <wp:inline distT="0" distB="0" distL="0" distR="0">
            <wp:extent cx="2831210" cy="3328196"/>
            <wp:effectExtent l="19050" t="0" r="26290" b="5554"/>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5E26" w:rsidRPr="009921BE" w:rsidRDefault="00AB5E26" w:rsidP="00FD59D8">
      <w:pPr>
        <w:pStyle w:val="ASRHeading3"/>
        <w:outlineLvl w:val="2"/>
        <w:rPr>
          <w:rFonts w:asciiTheme="minorHAnsi" w:hAnsiTheme="minorHAnsi"/>
          <w:sz w:val="22"/>
          <w:szCs w:val="22"/>
        </w:rPr>
      </w:pPr>
      <w:bookmarkStart w:id="22" w:name="_Toc306703586"/>
    </w:p>
    <w:p w:rsidR="00AB5E26" w:rsidRPr="009921BE" w:rsidRDefault="0016205F" w:rsidP="00FD59D8">
      <w:pPr>
        <w:pStyle w:val="ASRHeading3"/>
        <w:outlineLvl w:val="2"/>
        <w:rPr>
          <w:rFonts w:asciiTheme="minorHAnsi" w:hAnsiTheme="minorHAnsi"/>
          <w:sz w:val="22"/>
          <w:szCs w:val="22"/>
        </w:rPr>
      </w:pPr>
      <w:r>
        <w:rPr>
          <w:rFonts w:asciiTheme="minorHAnsi" w:hAnsiTheme="minorHAnsi"/>
          <w:noProof/>
          <w:sz w:val="22"/>
          <w:szCs w:val="22"/>
          <w:lang w:val="en-AU" w:eastAsia="en-AU" w:bidi="ar-SA"/>
        </w:rPr>
        <w:drawing>
          <wp:inline distT="0" distB="0" distL="0" distR="0">
            <wp:extent cx="2835275" cy="1886020"/>
            <wp:effectExtent l="19050" t="0" r="3175" b="0"/>
            <wp:docPr id="11" name="Picture 3" descr="C:\Documents and Settings\Staffuser\Desktop\Promotions\DSC_5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affuser\Desktop\Promotions\DSC_5472.jpg"/>
                    <pic:cNvPicPr>
                      <a:picLocks noChangeAspect="1" noChangeArrowheads="1"/>
                    </pic:cNvPicPr>
                  </pic:nvPicPr>
                  <pic:blipFill>
                    <a:blip r:embed="rId21" cstate="print"/>
                    <a:srcRect/>
                    <a:stretch>
                      <a:fillRect/>
                    </a:stretch>
                  </pic:blipFill>
                  <pic:spPr bwMode="auto">
                    <a:xfrm>
                      <a:off x="0" y="0"/>
                      <a:ext cx="2835275" cy="1886020"/>
                    </a:xfrm>
                    <a:prstGeom prst="rect">
                      <a:avLst/>
                    </a:prstGeom>
                    <a:noFill/>
                    <a:ln w="9525">
                      <a:noFill/>
                      <a:miter lim="800000"/>
                      <a:headEnd/>
                      <a:tailEnd/>
                    </a:ln>
                  </pic:spPr>
                </pic:pic>
              </a:graphicData>
            </a:graphic>
          </wp:inline>
        </w:drawing>
      </w:r>
    </w:p>
    <w:p w:rsidR="00AB5E26" w:rsidRPr="009921BE" w:rsidRDefault="00AB5E26" w:rsidP="00FD59D8">
      <w:pPr>
        <w:pStyle w:val="ASRHeading3"/>
        <w:outlineLvl w:val="2"/>
        <w:rPr>
          <w:rFonts w:asciiTheme="minorHAnsi" w:hAnsiTheme="minorHAnsi"/>
          <w:sz w:val="22"/>
          <w:szCs w:val="22"/>
        </w:rPr>
      </w:pPr>
    </w:p>
    <w:p w:rsidR="00AB5E26" w:rsidRPr="009921BE" w:rsidRDefault="00AB5E26" w:rsidP="00AB5E26">
      <w:pPr>
        <w:pStyle w:val="ASRHeading3"/>
        <w:jc w:val="center"/>
        <w:rPr>
          <w:rFonts w:asciiTheme="minorHAnsi" w:hAnsiTheme="minorHAnsi"/>
          <w:sz w:val="22"/>
          <w:szCs w:val="22"/>
        </w:rPr>
      </w:pPr>
      <w:r w:rsidRPr="009921BE">
        <w:rPr>
          <w:rFonts w:asciiTheme="minorHAnsi" w:hAnsiTheme="minorHAnsi"/>
          <w:sz w:val="22"/>
          <w:szCs w:val="22"/>
        </w:rPr>
        <w:t>Literacy – NAPLAN Year 5</w:t>
      </w:r>
    </w:p>
    <w:p w:rsidR="00AB5E26" w:rsidRPr="009921BE" w:rsidRDefault="00AB5E26" w:rsidP="00AB5E26">
      <w:pPr>
        <w:pStyle w:val="ASRBodyText"/>
        <w:rPr>
          <w:rFonts w:cs="Arial"/>
        </w:rPr>
      </w:pPr>
      <w:r w:rsidRPr="009921BE">
        <w:rPr>
          <w:rFonts w:cs="Arial"/>
        </w:rPr>
        <w:t>In 2011</w:t>
      </w:r>
      <w:r w:rsidR="00091D69" w:rsidRPr="009921BE">
        <w:rPr>
          <w:rFonts w:cs="Arial"/>
        </w:rPr>
        <w:t>, 40</w:t>
      </w:r>
      <w:r w:rsidRPr="009921BE">
        <w:rPr>
          <w:rFonts w:cs="Arial"/>
        </w:rPr>
        <w:t xml:space="preserve"> Year 5 students sat for the NAPLAN Test in literacy. This year our resul</w:t>
      </w:r>
      <w:r w:rsidR="00E61838">
        <w:rPr>
          <w:rFonts w:cs="Arial"/>
        </w:rPr>
        <w:t>ts were above state averages. 74</w:t>
      </w:r>
      <w:r w:rsidRPr="009921BE">
        <w:rPr>
          <w:rFonts w:cs="Arial"/>
        </w:rPr>
        <w:t xml:space="preserve">% of our students were in the top three bands.  </w:t>
      </w:r>
    </w:p>
    <w:p w:rsidR="00091D69" w:rsidRPr="009921BE" w:rsidRDefault="00AB5E26" w:rsidP="00E27CE0">
      <w:pPr>
        <w:pStyle w:val="ASRBodyText"/>
        <w:rPr>
          <w:rFonts w:cs="Arial"/>
        </w:rPr>
      </w:pPr>
      <w:r w:rsidRPr="009921BE">
        <w:rPr>
          <w:rFonts w:cs="Arial"/>
        </w:rPr>
        <w:t>Students in Year 5 were above that of the state</w:t>
      </w:r>
      <w:r w:rsidR="00E61838">
        <w:rPr>
          <w:rFonts w:cs="Arial"/>
        </w:rPr>
        <w:t xml:space="preserve"> average</w:t>
      </w:r>
      <w:r w:rsidRPr="009921BE">
        <w:rPr>
          <w:rFonts w:cs="Arial"/>
        </w:rPr>
        <w:t xml:space="preserve"> in reading, spelling, grammar and punctuation. The boy’s literacy results indicate </w:t>
      </w:r>
      <w:r w:rsidRPr="009921BE">
        <w:rPr>
          <w:rFonts w:cs="Arial"/>
        </w:rPr>
        <w:lastRenderedPageBreak/>
        <w:t>they perform above that of their state peers, and the girl’s results are similar to the state average.</w:t>
      </w:r>
    </w:p>
    <w:p w:rsidR="00AB5E26" w:rsidRPr="009921BE" w:rsidRDefault="00AB5E26" w:rsidP="00E27CE0">
      <w:pPr>
        <w:pStyle w:val="ASRHeading3"/>
        <w:jc w:val="center"/>
        <w:rPr>
          <w:rFonts w:asciiTheme="minorHAnsi" w:hAnsiTheme="minorHAnsi"/>
          <w:sz w:val="22"/>
          <w:szCs w:val="22"/>
        </w:rPr>
      </w:pPr>
      <w:r w:rsidRPr="009921BE">
        <w:rPr>
          <w:rFonts w:asciiTheme="minorHAnsi" w:hAnsiTheme="minorHAnsi"/>
          <w:sz w:val="22"/>
          <w:szCs w:val="22"/>
        </w:rPr>
        <w:t>Reading – NAPLAN Year 5</w:t>
      </w:r>
    </w:p>
    <w:p w:rsidR="009974E3" w:rsidRPr="00CA7AB6" w:rsidRDefault="00091D69" w:rsidP="00CA7AB6">
      <w:pPr>
        <w:pStyle w:val="ASRBodyText"/>
        <w:rPr>
          <w:rFonts w:cs="Arial"/>
        </w:rPr>
      </w:pPr>
      <w:r w:rsidRPr="009921BE">
        <w:rPr>
          <w:rFonts w:cs="Arial"/>
        </w:rPr>
        <w:t>In 2011, 40</w:t>
      </w:r>
      <w:r w:rsidR="00AB5E26" w:rsidRPr="009921BE">
        <w:rPr>
          <w:rFonts w:cs="Arial"/>
        </w:rPr>
        <w:t xml:space="preserve"> students in year 5 sat for the NAPLAN test in </w:t>
      </w:r>
      <w:r w:rsidR="00E61838">
        <w:rPr>
          <w:rFonts w:cs="Arial"/>
        </w:rPr>
        <w:t>reading. This year in reading 38</w:t>
      </w:r>
      <w:r w:rsidR="00AB5E26" w:rsidRPr="009921BE">
        <w:rPr>
          <w:rFonts w:cs="Arial"/>
        </w:rPr>
        <w:t>% of students are performin</w:t>
      </w:r>
      <w:r w:rsidR="00E61838">
        <w:rPr>
          <w:rFonts w:cs="Arial"/>
        </w:rPr>
        <w:t>g in the proficient range and 95</w:t>
      </w:r>
      <w:r w:rsidR="00AB5E26" w:rsidRPr="009921BE">
        <w:rPr>
          <w:rFonts w:cs="Arial"/>
        </w:rPr>
        <w:t>% of students are performing at or above National minimum standards.</w:t>
      </w:r>
      <w:r w:rsidR="00CA7AB6">
        <w:rPr>
          <w:rFonts w:cs="Arial"/>
        </w:rPr>
        <w:t xml:space="preserve"> </w:t>
      </w:r>
      <w:bookmarkEnd w:id="22"/>
    </w:p>
    <w:p w:rsidR="00E27CE0" w:rsidRPr="009921BE" w:rsidRDefault="00EF17D7" w:rsidP="004351B0">
      <w:pPr>
        <w:pStyle w:val="ASRBodyText"/>
      </w:pPr>
      <w:r w:rsidRPr="009921BE">
        <w:rPr>
          <w:noProof/>
          <w:lang w:val="en-AU" w:eastAsia="en-AU" w:bidi="ar-SA"/>
        </w:rPr>
        <w:drawing>
          <wp:inline distT="0" distB="0" distL="0" distR="0">
            <wp:extent cx="2820004" cy="3304383"/>
            <wp:effectExtent l="19050" t="0" r="18446"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7CE0" w:rsidRPr="009921BE" w:rsidRDefault="00E27CE0" w:rsidP="004351B0">
      <w:pPr>
        <w:pStyle w:val="ASRBodyText"/>
      </w:pPr>
    </w:p>
    <w:p w:rsidR="00AB5E26" w:rsidRPr="009921BE" w:rsidRDefault="00AB5E26" w:rsidP="00AB5E26">
      <w:pPr>
        <w:pStyle w:val="ASRBodyText"/>
        <w:jc w:val="center"/>
      </w:pPr>
      <w:r w:rsidRPr="009921BE">
        <w:rPr>
          <w:b/>
        </w:rPr>
        <w:t>Grammar and Punctuation – NAPLAN Year 5</w:t>
      </w:r>
    </w:p>
    <w:p w:rsidR="00AB5E26" w:rsidRPr="009921BE" w:rsidRDefault="00AB5E26" w:rsidP="00AB5E26">
      <w:pPr>
        <w:pStyle w:val="ASRBodyText"/>
        <w:rPr>
          <w:rFonts w:cs="Arial"/>
        </w:rPr>
      </w:pPr>
      <w:r w:rsidRPr="009921BE">
        <w:rPr>
          <w:rFonts w:cs="Arial"/>
        </w:rPr>
        <w:t>In 2011</w:t>
      </w:r>
      <w:r w:rsidR="00091D69" w:rsidRPr="009921BE">
        <w:rPr>
          <w:rFonts w:cs="Arial"/>
        </w:rPr>
        <w:t>, 40</w:t>
      </w:r>
      <w:r w:rsidRPr="009921BE">
        <w:rPr>
          <w:rFonts w:cs="Arial"/>
        </w:rPr>
        <w:t xml:space="preserve"> year 5 students sat for the NAPLAN test in </w:t>
      </w:r>
      <w:r w:rsidR="00E61838">
        <w:rPr>
          <w:rFonts w:cs="Arial"/>
        </w:rPr>
        <w:t>writing. This year in writing 38</w:t>
      </w:r>
      <w:r w:rsidRPr="009921BE">
        <w:rPr>
          <w:rFonts w:cs="Arial"/>
        </w:rPr>
        <w:t>% of students are performin</w:t>
      </w:r>
      <w:r w:rsidR="00E61838">
        <w:rPr>
          <w:rFonts w:cs="Arial"/>
        </w:rPr>
        <w:t>g in the proficient range and 9</w:t>
      </w:r>
      <w:r w:rsidR="00EF0EC2">
        <w:rPr>
          <w:rFonts w:cs="Arial"/>
        </w:rPr>
        <w:t>7.5</w:t>
      </w:r>
      <w:r w:rsidRPr="009921BE">
        <w:rPr>
          <w:rFonts w:cs="Arial"/>
        </w:rPr>
        <w:t>% of students are performing at or above National minimum standards.</w:t>
      </w:r>
    </w:p>
    <w:p w:rsidR="00AB5E26" w:rsidRPr="009921BE" w:rsidRDefault="00E61838" w:rsidP="004351B0">
      <w:pPr>
        <w:pStyle w:val="ASRBodyText"/>
      </w:pPr>
      <w:r w:rsidRPr="00E61838">
        <w:rPr>
          <w:noProof/>
          <w:lang w:val="en-AU" w:eastAsia="en-AU" w:bidi="ar-SA"/>
        </w:rPr>
        <w:drawing>
          <wp:inline distT="0" distB="0" distL="0" distR="0">
            <wp:extent cx="2835275" cy="1886187"/>
            <wp:effectExtent l="19050" t="0" r="3175" b="0"/>
            <wp:docPr id="18" name="Picture 3" descr="C:\Documents and Settings\Staffuser\Desktop\Promotions\DSC_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affuser\Desktop\Promotions\DSC_5999.jpg"/>
                    <pic:cNvPicPr>
                      <a:picLocks noChangeAspect="1" noChangeArrowheads="1"/>
                    </pic:cNvPicPr>
                  </pic:nvPicPr>
                  <pic:blipFill>
                    <a:blip r:embed="rId23" cstate="print"/>
                    <a:srcRect/>
                    <a:stretch>
                      <a:fillRect/>
                    </a:stretch>
                  </pic:blipFill>
                  <pic:spPr bwMode="auto">
                    <a:xfrm>
                      <a:off x="0" y="0"/>
                      <a:ext cx="2835275" cy="1886187"/>
                    </a:xfrm>
                    <a:prstGeom prst="rect">
                      <a:avLst/>
                    </a:prstGeom>
                    <a:noFill/>
                    <a:ln w="9525">
                      <a:noFill/>
                      <a:miter lim="800000"/>
                      <a:headEnd/>
                      <a:tailEnd/>
                    </a:ln>
                  </pic:spPr>
                </pic:pic>
              </a:graphicData>
            </a:graphic>
          </wp:inline>
        </w:drawing>
      </w:r>
    </w:p>
    <w:p w:rsidR="00EF17D7" w:rsidRPr="009921BE" w:rsidRDefault="0045503E" w:rsidP="004351B0">
      <w:pPr>
        <w:pStyle w:val="ASRBodyText"/>
      </w:pPr>
      <w:r w:rsidRPr="009921BE">
        <w:rPr>
          <w:noProof/>
          <w:lang w:val="en-AU" w:eastAsia="en-AU" w:bidi="ar-SA"/>
        </w:rPr>
        <w:lastRenderedPageBreak/>
        <w:drawing>
          <wp:inline distT="0" distB="0" distL="0" distR="0">
            <wp:extent cx="2814401" cy="3304383"/>
            <wp:effectExtent l="19050" t="0" r="24049"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5E26" w:rsidRPr="009921BE" w:rsidRDefault="00AB5E26" w:rsidP="00AB5E26">
      <w:pPr>
        <w:pStyle w:val="ASRHeading3"/>
        <w:rPr>
          <w:rFonts w:asciiTheme="minorHAnsi" w:hAnsiTheme="minorHAnsi"/>
          <w:sz w:val="22"/>
          <w:szCs w:val="22"/>
        </w:rPr>
      </w:pPr>
    </w:p>
    <w:p w:rsidR="00AB5E26" w:rsidRPr="009921BE" w:rsidRDefault="0016205F" w:rsidP="00AB5E26">
      <w:pPr>
        <w:pStyle w:val="ASRHeading3"/>
        <w:rPr>
          <w:rFonts w:asciiTheme="minorHAnsi" w:hAnsiTheme="minorHAnsi"/>
          <w:sz w:val="22"/>
          <w:szCs w:val="22"/>
        </w:rPr>
      </w:pPr>
      <w:r>
        <w:rPr>
          <w:rFonts w:asciiTheme="minorHAnsi" w:hAnsiTheme="minorHAnsi"/>
          <w:noProof/>
          <w:sz w:val="22"/>
          <w:szCs w:val="22"/>
          <w:lang w:val="en-AU" w:eastAsia="en-AU" w:bidi="ar-SA"/>
        </w:rPr>
        <w:drawing>
          <wp:inline distT="0" distB="0" distL="0" distR="0">
            <wp:extent cx="2835275" cy="1886187"/>
            <wp:effectExtent l="19050" t="0" r="3175" b="0"/>
            <wp:docPr id="19" name="Picture 6" descr="C:\Documents and Settings\Staffuser\Desktop\Promotions\DSC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affuser\Desktop\Promotions\DSC_5938.jpg"/>
                    <pic:cNvPicPr>
                      <a:picLocks noChangeAspect="1" noChangeArrowheads="1"/>
                    </pic:cNvPicPr>
                  </pic:nvPicPr>
                  <pic:blipFill>
                    <a:blip r:embed="rId25" cstate="print"/>
                    <a:srcRect/>
                    <a:stretch>
                      <a:fillRect/>
                    </a:stretch>
                  </pic:blipFill>
                  <pic:spPr bwMode="auto">
                    <a:xfrm>
                      <a:off x="0" y="0"/>
                      <a:ext cx="2835275" cy="1886187"/>
                    </a:xfrm>
                    <a:prstGeom prst="rect">
                      <a:avLst/>
                    </a:prstGeom>
                    <a:noFill/>
                    <a:ln w="9525">
                      <a:noFill/>
                      <a:miter lim="800000"/>
                      <a:headEnd/>
                      <a:tailEnd/>
                    </a:ln>
                  </pic:spPr>
                </pic:pic>
              </a:graphicData>
            </a:graphic>
          </wp:inline>
        </w:drawing>
      </w:r>
    </w:p>
    <w:p w:rsidR="00AB5E26" w:rsidRPr="009921BE" w:rsidRDefault="00AB5E26" w:rsidP="00AB5E26">
      <w:pPr>
        <w:pStyle w:val="ASRHeading3"/>
        <w:rPr>
          <w:rFonts w:asciiTheme="minorHAnsi" w:hAnsiTheme="minorHAnsi"/>
          <w:sz w:val="22"/>
          <w:szCs w:val="22"/>
        </w:rPr>
      </w:pPr>
      <w:r w:rsidRPr="009921BE">
        <w:rPr>
          <w:rFonts w:asciiTheme="minorHAnsi" w:hAnsiTheme="minorHAnsi"/>
          <w:sz w:val="22"/>
          <w:szCs w:val="22"/>
        </w:rPr>
        <w:t>Numeracy – NAPLAN Year 5</w:t>
      </w:r>
    </w:p>
    <w:p w:rsidR="00AB5E26" w:rsidRPr="009921BE" w:rsidRDefault="00AB5E26" w:rsidP="00AB5E26">
      <w:pPr>
        <w:pStyle w:val="ASRBodyText"/>
        <w:rPr>
          <w:rFonts w:cs="Arial"/>
        </w:rPr>
      </w:pPr>
      <w:r w:rsidRPr="009921BE">
        <w:rPr>
          <w:rFonts w:cs="Arial"/>
        </w:rPr>
        <w:t>In 2011</w:t>
      </w:r>
      <w:r w:rsidR="00091D69" w:rsidRPr="009921BE">
        <w:rPr>
          <w:rFonts w:cs="Arial"/>
        </w:rPr>
        <w:t>, 40</w:t>
      </w:r>
      <w:r w:rsidRPr="009921BE">
        <w:rPr>
          <w:rFonts w:cs="Arial"/>
        </w:rPr>
        <w:t xml:space="preserve"> students sat for the NAPLAN test in nu</w:t>
      </w:r>
      <w:r w:rsidR="00EF0EC2">
        <w:rPr>
          <w:rFonts w:cs="Arial"/>
        </w:rPr>
        <w:t>meracy. This year in numeracy 25</w:t>
      </w:r>
      <w:r w:rsidRPr="009921BE">
        <w:rPr>
          <w:rFonts w:cs="Arial"/>
        </w:rPr>
        <w:t>% of students are performin</w:t>
      </w:r>
      <w:r w:rsidR="00EF0EC2">
        <w:rPr>
          <w:rFonts w:cs="Arial"/>
        </w:rPr>
        <w:t>g in the proficient range and 95</w:t>
      </w:r>
      <w:r w:rsidRPr="009921BE">
        <w:rPr>
          <w:rFonts w:cs="Arial"/>
        </w:rPr>
        <w:t>% of students are performing at or above National minimum standards.</w:t>
      </w:r>
    </w:p>
    <w:p w:rsidR="0045503E" w:rsidRPr="009921BE" w:rsidRDefault="00E61838" w:rsidP="00FD59D8">
      <w:pPr>
        <w:pStyle w:val="ASRHeading3"/>
        <w:outlineLvl w:val="2"/>
        <w:rPr>
          <w:rFonts w:asciiTheme="minorHAnsi" w:hAnsiTheme="minorHAnsi"/>
          <w:sz w:val="22"/>
          <w:szCs w:val="22"/>
        </w:rPr>
      </w:pPr>
      <w:r>
        <w:rPr>
          <w:rFonts w:asciiTheme="minorHAnsi" w:hAnsiTheme="minorHAnsi"/>
          <w:noProof/>
          <w:sz w:val="22"/>
          <w:szCs w:val="22"/>
          <w:lang w:val="en-AU" w:eastAsia="en-AU" w:bidi="ar-SA"/>
        </w:rPr>
        <w:drawing>
          <wp:inline distT="0" distB="0" distL="0" distR="0">
            <wp:extent cx="2835275" cy="1799081"/>
            <wp:effectExtent l="19050" t="0" r="3175" b="0"/>
            <wp:docPr id="24" name="Picture 2" descr="C:\Documents and Settings\Staffuser\Desktop\Promotions\DSCF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affuser\Desktop\Promotions\DSCF0207.jpg"/>
                    <pic:cNvPicPr>
                      <a:picLocks noChangeAspect="1" noChangeArrowheads="1"/>
                    </pic:cNvPicPr>
                  </pic:nvPicPr>
                  <pic:blipFill>
                    <a:blip r:embed="rId26" cstate="print"/>
                    <a:srcRect/>
                    <a:stretch>
                      <a:fillRect/>
                    </a:stretch>
                  </pic:blipFill>
                  <pic:spPr bwMode="auto">
                    <a:xfrm>
                      <a:off x="0" y="0"/>
                      <a:ext cx="2835275" cy="1799081"/>
                    </a:xfrm>
                    <a:prstGeom prst="rect">
                      <a:avLst/>
                    </a:prstGeom>
                    <a:noFill/>
                    <a:ln w="9525">
                      <a:noFill/>
                      <a:miter lim="800000"/>
                      <a:headEnd/>
                      <a:tailEnd/>
                    </a:ln>
                  </pic:spPr>
                </pic:pic>
              </a:graphicData>
            </a:graphic>
          </wp:inline>
        </w:drawing>
      </w:r>
    </w:p>
    <w:p w:rsidR="009974E3" w:rsidRPr="009921BE" w:rsidRDefault="0045503E" w:rsidP="004351B0">
      <w:pPr>
        <w:pStyle w:val="ASRBodyText"/>
      </w:pPr>
      <w:r w:rsidRPr="009921BE">
        <w:rPr>
          <w:noProof/>
          <w:lang w:val="en-AU" w:eastAsia="en-AU" w:bidi="ar-SA"/>
        </w:rPr>
        <w:lastRenderedPageBreak/>
        <w:drawing>
          <wp:inline distT="0" distB="0" distL="0" distR="0">
            <wp:extent cx="2827709" cy="3308586"/>
            <wp:effectExtent l="19050" t="0" r="10741" b="6114"/>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5E26" w:rsidRPr="009921BE" w:rsidRDefault="00AB5E26" w:rsidP="004351B0">
      <w:pPr>
        <w:pStyle w:val="ASRBodyText"/>
      </w:pPr>
    </w:p>
    <w:p w:rsidR="009974E3" w:rsidRPr="009921BE" w:rsidRDefault="009974E3" w:rsidP="00AB5E26">
      <w:pPr>
        <w:pStyle w:val="ASRHeading3"/>
        <w:jc w:val="center"/>
        <w:outlineLvl w:val="2"/>
        <w:rPr>
          <w:rFonts w:asciiTheme="minorHAnsi" w:hAnsiTheme="minorHAnsi"/>
          <w:sz w:val="22"/>
          <w:szCs w:val="22"/>
        </w:rPr>
      </w:pPr>
      <w:bookmarkStart w:id="23" w:name="_Toc306703592"/>
      <w:r w:rsidRPr="009921BE">
        <w:rPr>
          <w:rFonts w:asciiTheme="minorHAnsi" w:hAnsiTheme="minorHAnsi"/>
          <w:sz w:val="22"/>
          <w:szCs w:val="22"/>
        </w:rPr>
        <w:t>Progress in literacy</w:t>
      </w:r>
      <w:bookmarkEnd w:id="23"/>
    </w:p>
    <w:p w:rsidR="00AB5E26" w:rsidRPr="009921BE" w:rsidRDefault="00AB5E26" w:rsidP="00AB5E26">
      <w:pPr>
        <w:pStyle w:val="ASRBodyText"/>
        <w:rPr>
          <w:rFonts w:cs="Arial"/>
        </w:rPr>
      </w:pPr>
      <w:r w:rsidRPr="009921BE">
        <w:rPr>
          <w:rFonts w:cs="Arial"/>
        </w:rPr>
        <w:t>28 students have been matched from Year 3 to year 5 at Blackheath Public School (2009 – 2011). Some of these students attended other schools before enrolling at Blackheath Public School.</w:t>
      </w:r>
    </w:p>
    <w:p w:rsidR="00AB5E26" w:rsidRPr="009921BE" w:rsidRDefault="00AB5E26" w:rsidP="00AB5E26">
      <w:pPr>
        <w:pStyle w:val="ASRBodyText"/>
        <w:rPr>
          <w:rFonts w:cs="Arial"/>
        </w:rPr>
      </w:pPr>
      <w:r w:rsidRPr="009921BE">
        <w:rPr>
          <w:rFonts w:cs="Arial"/>
        </w:rPr>
        <w:t>Whereas many students demonstrated significant growth in Literacy, overall growth was significantly higher than that of state.</w:t>
      </w:r>
    </w:p>
    <w:p w:rsidR="00131784" w:rsidRPr="009921BE" w:rsidRDefault="00131784" w:rsidP="004351B0">
      <w:pPr>
        <w:pStyle w:val="ASRBodyText"/>
      </w:pPr>
    </w:p>
    <w:p w:rsidR="00131784" w:rsidRPr="009921BE" w:rsidRDefault="00131784" w:rsidP="004351B0">
      <w:pPr>
        <w:pStyle w:val="ASRBodyText"/>
      </w:pPr>
      <w:r w:rsidRPr="009921BE">
        <w:rPr>
          <w:noProof/>
          <w:lang w:val="en-AU" w:eastAsia="en-AU" w:bidi="ar-SA"/>
        </w:rPr>
        <w:drawing>
          <wp:inline distT="0" distB="0" distL="0" distR="0">
            <wp:extent cx="2835275" cy="1934078"/>
            <wp:effectExtent l="19050" t="0" r="22225" b="9022"/>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1784" w:rsidRPr="009921BE" w:rsidRDefault="00131784" w:rsidP="004351B0">
      <w:pPr>
        <w:pStyle w:val="ASRBodyText"/>
      </w:pPr>
    </w:p>
    <w:p w:rsidR="00131784" w:rsidRPr="009921BE" w:rsidRDefault="00131784" w:rsidP="004351B0">
      <w:pPr>
        <w:pStyle w:val="ASRBodyText"/>
      </w:pPr>
    </w:p>
    <w:p w:rsidR="009974E3" w:rsidRPr="009921BE" w:rsidRDefault="009974E3" w:rsidP="00AB5E26">
      <w:pPr>
        <w:pStyle w:val="ASRHeading3"/>
        <w:jc w:val="center"/>
        <w:outlineLvl w:val="2"/>
        <w:rPr>
          <w:rFonts w:asciiTheme="minorHAnsi" w:hAnsiTheme="minorHAnsi"/>
          <w:sz w:val="22"/>
          <w:szCs w:val="22"/>
        </w:rPr>
      </w:pPr>
      <w:bookmarkStart w:id="24" w:name="_Toc306703593"/>
      <w:r w:rsidRPr="009921BE">
        <w:rPr>
          <w:rFonts w:asciiTheme="minorHAnsi" w:hAnsiTheme="minorHAnsi"/>
          <w:sz w:val="22"/>
          <w:szCs w:val="22"/>
        </w:rPr>
        <w:t>Progress in numeracy</w:t>
      </w:r>
      <w:bookmarkEnd w:id="24"/>
    </w:p>
    <w:p w:rsidR="00AB5E26" w:rsidRPr="009921BE" w:rsidRDefault="00AB5E26" w:rsidP="00AB5E26">
      <w:pPr>
        <w:pStyle w:val="ASRBodyText"/>
        <w:rPr>
          <w:rFonts w:cs="Arial"/>
        </w:rPr>
      </w:pPr>
      <w:r w:rsidRPr="009921BE">
        <w:rPr>
          <w:rFonts w:cs="Arial"/>
        </w:rPr>
        <w:t xml:space="preserve">28 students have been matched from Year 3 to year 5 at Blackheath Public School (2009 – 2011). Some of these students attended other schools before enrolling at Blackheath Public School. </w:t>
      </w:r>
    </w:p>
    <w:p w:rsidR="00AB5E26" w:rsidRPr="009921BE" w:rsidRDefault="00AB5E26" w:rsidP="00AB5E26">
      <w:pPr>
        <w:pStyle w:val="ASRBodyText"/>
        <w:rPr>
          <w:rFonts w:cs="Arial"/>
        </w:rPr>
      </w:pPr>
      <w:r w:rsidRPr="009921BE">
        <w:rPr>
          <w:rFonts w:cs="Arial"/>
        </w:rPr>
        <w:lastRenderedPageBreak/>
        <w:t>Whereas many students demonstrated significant growth in Numeracy, overall growth was lower than that of state.</w:t>
      </w:r>
    </w:p>
    <w:p w:rsidR="00AB5E26" w:rsidRPr="009921BE" w:rsidRDefault="00AB5E26" w:rsidP="00AB5E26">
      <w:pPr>
        <w:pStyle w:val="ASRHeading3"/>
        <w:jc w:val="center"/>
        <w:outlineLvl w:val="2"/>
        <w:rPr>
          <w:rFonts w:asciiTheme="minorHAnsi" w:hAnsiTheme="minorHAnsi"/>
          <w:sz w:val="22"/>
          <w:szCs w:val="22"/>
        </w:rPr>
      </w:pPr>
    </w:p>
    <w:p w:rsidR="00131784" w:rsidRPr="009921BE" w:rsidRDefault="00131784" w:rsidP="004351B0">
      <w:pPr>
        <w:pStyle w:val="ASRBodyText"/>
      </w:pPr>
    </w:p>
    <w:p w:rsidR="00131784" w:rsidRPr="009921BE" w:rsidRDefault="00131784" w:rsidP="00131784">
      <w:pPr>
        <w:spacing w:after="0" w:line="240" w:lineRule="auto"/>
        <w:jc w:val="both"/>
        <w:rPr>
          <w:rFonts w:eastAsia="Times New Roman" w:cs="Times New Roman"/>
          <w:color w:val="000000"/>
          <w:lang w:val="en-AU" w:eastAsia="en-AU" w:bidi="ar-SA"/>
        </w:rPr>
      </w:pPr>
      <w:r w:rsidRPr="009921BE">
        <w:rPr>
          <w:rFonts w:eastAsia="Times New Roman" w:cs="Times New Roman"/>
          <w:noProof/>
          <w:color w:val="000000"/>
          <w:lang w:val="en-AU" w:eastAsia="en-AU" w:bidi="ar-SA"/>
        </w:rPr>
        <w:drawing>
          <wp:inline distT="0" distB="0" distL="0" distR="0">
            <wp:extent cx="2835275" cy="1936578"/>
            <wp:effectExtent l="19050" t="0" r="22225" b="6522"/>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1784" w:rsidRPr="009921BE" w:rsidRDefault="00131784" w:rsidP="004351B0">
      <w:pPr>
        <w:pStyle w:val="ASRBodyText"/>
      </w:pPr>
    </w:p>
    <w:p w:rsidR="009974E3" w:rsidRPr="009921BE" w:rsidRDefault="009974E3" w:rsidP="00AB5E26">
      <w:pPr>
        <w:pStyle w:val="ASRHeading3"/>
        <w:jc w:val="center"/>
        <w:outlineLvl w:val="2"/>
        <w:rPr>
          <w:rFonts w:asciiTheme="minorHAnsi" w:hAnsiTheme="minorHAnsi"/>
          <w:sz w:val="22"/>
          <w:szCs w:val="22"/>
        </w:rPr>
      </w:pPr>
      <w:bookmarkStart w:id="25" w:name="_Toc306703598"/>
      <w:r w:rsidRPr="009921BE">
        <w:rPr>
          <w:rFonts w:asciiTheme="minorHAnsi" w:hAnsiTheme="minorHAnsi"/>
          <w:sz w:val="22"/>
          <w:szCs w:val="22"/>
        </w:rPr>
        <w:t>Minimum standards</w:t>
      </w:r>
      <w:bookmarkEnd w:id="25"/>
    </w:p>
    <w:p w:rsidR="009974E3" w:rsidRPr="009921BE" w:rsidRDefault="009974E3" w:rsidP="0028578D">
      <w:pPr>
        <w:pStyle w:val="ASRBodyText"/>
      </w:pPr>
      <w:r w:rsidRPr="009921BE">
        <w:t xml:space="preserve">The Commonwealth Government sets minimum standards for reading, writing, grammar and punctuation, spelling and numeracy for </w:t>
      </w:r>
      <w:r w:rsidR="00C15203" w:rsidRPr="009921BE">
        <w:t>Year</w:t>
      </w:r>
      <w:r w:rsidRPr="009921BE">
        <w:t xml:space="preserve">s 3, 5, 7 and 9. </w:t>
      </w:r>
    </w:p>
    <w:p w:rsidR="0045503E" w:rsidRPr="009921BE" w:rsidRDefault="009974E3" w:rsidP="005F4E6B">
      <w:pPr>
        <w:pStyle w:val="ASRBodyText"/>
      </w:pPr>
      <w:r w:rsidRPr="009921BE">
        <w:t>The performance of the students in our school in the National Assessment Program – Literacy and Numeracy is compared to these minimum standards. The percentages of our students achieving at or above these standards are reported below.</w:t>
      </w:r>
      <w:bookmarkStart w:id="26" w:name="_Toc210703319"/>
      <w:bookmarkStart w:id="27" w:name="_Toc210703400"/>
      <w:bookmarkStart w:id="28" w:name="_Toc210703666"/>
    </w:p>
    <w:tbl>
      <w:tblPr>
        <w:tblW w:w="4280" w:type="dxa"/>
        <w:tblInd w:w="103" w:type="dxa"/>
        <w:tblLook w:val="04A0"/>
      </w:tblPr>
      <w:tblGrid>
        <w:gridCol w:w="3473"/>
        <w:gridCol w:w="807"/>
      </w:tblGrid>
      <w:tr w:rsidR="00131784" w:rsidRPr="009921BE" w:rsidTr="00131784">
        <w:trPr>
          <w:trHeight w:val="315"/>
        </w:trPr>
        <w:tc>
          <w:tcPr>
            <w:tcW w:w="4280" w:type="dxa"/>
            <w:gridSpan w:val="2"/>
            <w:vMerge w:val="restart"/>
            <w:tcBorders>
              <w:top w:val="single" w:sz="4" w:space="0" w:color="7F7F7F"/>
              <w:left w:val="single" w:sz="4" w:space="0" w:color="7F7F7F"/>
              <w:bottom w:val="single" w:sz="4" w:space="0" w:color="7F7F7F"/>
              <w:right w:val="single" w:sz="4" w:space="0" w:color="7F7F7F"/>
            </w:tcBorders>
            <w:shd w:val="clear" w:color="000000" w:fill="FFFFFF"/>
            <w:vAlign w:val="center"/>
            <w:hideMark/>
          </w:tcPr>
          <w:p w:rsidR="00131784" w:rsidRPr="009921BE" w:rsidRDefault="00131784" w:rsidP="00131784">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Percentage of Year 3 students achieving at or above minimum standard (exempt students excluded)</w:t>
            </w:r>
          </w:p>
        </w:tc>
      </w:tr>
      <w:tr w:rsidR="00131784" w:rsidRPr="009921BE" w:rsidTr="00131784">
        <w:trPr>
          <w:trHeight w:val="315"/>
        </w:trPr>
        <w:tc>
          <w:tcPr>
            <w:tcW w:w="4280" w:type="dxa"/>
            <w:gridSpan w:val="2"/>
            <w:vMerge/>
            <w:tcBorders>
              <w:top w:val="single" w:sz="4" w:space="0" w:color="7F7F7F"/>
              <w:left w:val="single" w:sz="4" w:space="0" w:color="7F7F7F"/>
              <w:bottom w:val="single" w:sz="4" w:space="0" w:color="7F7F7F"/>
              <w:right w:val="single" w:sz="4" w:space="0" w:color="7F7F7F"/>
            </w:tcBorders>
            <w:vAlign w:val="center"/>
            <w:hideMark/>
          </w:tcPr>
          <w:p w:rsidR="00131784" w:rsidRPr="009921BE" w:rsidRDefault="00131784" w:rsidP="00131784">
            <w:pPr>
              <w:spacing w:after="0" w:line="240" w:lineRule="auto"/>
              <w:rPr>
                <w:rFonts w:eastAsia="Times New Roman" w:cs="Times New Roman"/>
                <w:b/>
                <w:bCs/>
                <w:color w:val="000000"/>
                <w:lang w:val="en-AU" w:eastAsia="en-AU" w:bidi="ar-SA"/>
              </w:rPr>
            </w:pPr>
          </w:p>
        </w:tc>
      </w:tr>
      <w:tr w:rsidR="00131784" w:rsidRPr="009921BE" w:rsidTr="00131784">
        <w:trPr>
          <w:trHeight w:val="300"/>
        </w:trPr>
        <w:tc>
          <w:tcPr>
            <w:tcW w:w="4280" w:type="dxa"/>
            <w:gridSpan w:val="2"/>
            <w:vMerge/>
            <w:tcBorders>
              <w:top w:val="single" w:sz="4" w:space="0" w:color="7F7F7F"/>
              <w:left w:val="single" w:sz="4" w:space="0" w:color="7F7F7F"/>
              <w:bottom w:val="single" w:sz="4" w:space="0" w:color="7F7F7F"/>
              <w:right w:val="single" w:sz="4" w:space="0" w:color="7F7F7F"/>
            </w:tcBorders>
            <w:vAlign w:val="center"/>
            <w:hideMark/>
          </w:tcPr>
          <w:p w:rsidR="00131784" w:rsidRPr="009921BE" w:rsidRDefault="00131784" w:rsidP="00131784">
            <w:pPr>
              <w:spacing w:after="0" w:line="240" w:lineRule="auto"/>
              <w:rPr>
                <w:rFonts w:eastAsia="Times New Roman" w:cs="Times New Roman"/>
                <w:b/>
                <w:bCs/>
                <w:color w:val="000000"/>
                <w:lang w:val="en-AU" w:eastAsia="en-AU" w:bidi="ar-SA"/>
              </w:rPr>
            </w:pPr>
          </w:p>
        </w:tc>
      </w:tr>
      <w:tr w:rsidR="00131784" w:rsidRPr="009921BE" w:rsidTr="00131784">
        <w:trPr>
          <w:trHeight w:val="300"/>
        </w:trPr>
        <w:tc>
          <w:tcPr>
            <w:tcW w:w="3473"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Reading</w:t>
            </w:r>
          </w:p>
        </w:tc>
        <w:tc>
          <w:tcPr>
            <w:tcW w:w="807"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100.0</w:t>
            </w:r>
          </w:p>
        </w:tc>
      </w:tr>
      <w:tr w:rsidR="00131784" w:rsidRPr="009921BE" w:rsidTr="00131784">
        <w:trPr>
          <w:trHeight w:val="300"/>
        </w:trPr>
        <w:tc>
          <w:tcPr>
            <w:tcW w:w="3473"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Writing</w:t>
            </w:r>
          </w:p>
        </w:tc>
        <w:tc>
          <w:tcPr>
            <w:tcW w:w="807"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100.0</w:t>
            </w:r>
          </w:p>
        </w:tc>
      </w:tr>
      <w:tr w:rsidR="00131784" w:rsidRPr="009921BE" w:rsidTr="00131784">
        <w:trPr>
          <w:trHeight w:val="300"/>
        </w:trPr>
        <w:tc>
          <w:tcPr>
            <w:tcW w:w="3473"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Spelling</w:t>
            </w:r>
          </w:p>
        </w:tc>
        <w:tc>
          <w:tcPr>
            <w:tcW w:w="807"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97.2</w:t>
            </w:r>
          </w:p>
        </w:tc>
      </w:tr>
      <w:tr w:rsidR="00131784" w:rsidRPr="009921BE" w:rsidTr="00131784">
        <w:trPr>
          <w:trHeight w:val="300"/>
        </w:trPr>
        <w:tc>
          <w:tcPr>
            <w:tcW w:w="3473"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Grammar &amp; Punctuation</w:t>
            </w:r>
          </w:p>
        </w:tc>
        <w:tc>
          <w:tcPr>
            <w:tcW w:w="807"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97.2</w:t>
            </w:r>
          </w:p>
        </w:tc>
      </w:tr>
      <w:tr w:rsidR="00131784" w:rsidRPr="009921BE" w:rsidTr="00131784">
        <w:trPr>
          <w:trHeight w:val="300"/>
        </w:trPr>
        <w:tc>
          <w:tcPr>
            <w:tcW w:w="3473"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Numeracy</w:t>
            </w:r>
          </w:p>
        </w:tc>
        <w:tc>
          <w:tcPr>
            <w:tcW w:w="807"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94.4</w:t>
            </w:r>
          </w:p>
        </w:tc>
      </w:tr>
    </w:tbl>
    <w:p w:rsidR="00AB5E26" w:rsidRPr="009921BE" w:rsidRDefault="00AB5E26" w:rsidP="005F4E6B">
      <w:pPr>
        <w:pStyle w:val="ASRBodyText"/>
      </w:pPr>
    </w:p>
    <w:tbl>
      <w:tblPr>
        <w:tblW w:w="4280" w:type="dxa"/>
        <w:tblInd w:w="103" w:type="dxa"/>
        <w:tblLook w:val="04A0"/>
      </w:tblPr>
      <w:tblGrid>
        <w:gridCol w:w="3621"/>
        <w:gridCol w:w="659"/>
      </w:tblGrid>
      <w:tr w:rsidR="00131784" w:rsidRPr="009921BE" w:rsidTr="00131784">
        <w:trPr>
          <w:trHeight w:val="300"/>
        </w:trPr>
        <w:tc>
          <w:tcPr>
            <w:tcW w:w="4280" w:type="dxa"/>
            <w:gridSpan w:val="2"/>
            <w:vMerge w:val="restart"/>
            <w:tcBorders>
              <w:top w:val="single" w:sz="4" w:space="0" w:color="7F7F7F"/>
              <w:left w:val="single" w:sz="4" w:space="0" w:color="7F7F7F"/>
              <w:bottom w:val="single" w:sz="4" w:space="0" w:color="7F7F7F"/>
              <w:right w:val="single" w:sz="4" w:space="0" w:color="7F7F7F"/>
            </w:tcBorders>
            <w:shd w:val="clear" w:color="000000" w:fill="FFFFFF"/>
            <w:vAlign w:val="center"/>
            <w:hideMark/>
          </w:tcPr>
          <w:p w:rsidR="00131784" w:rsidRPr="009921BE" w:rsidRDefault="00131784" w:rsidP="00131784">
            <w:pPr>
              <w:spacing w:after="0" w:line="240" w:lineRule="auto"/>
              <w:jc w:val="center"/>
              <w:rPr>
                <w:rFonts w:eastAsia="Times New Roman" w:cs="Times New Roman"/>
                <w:b/>
                <w:bCs/>
                <w:color w:val="000000"/>
                <w:lang w:val="en-AU" w:eastAsia="en-AU" w:bidi="ar-SA"/>
              </w:rPr>
            </w:pPr>
            <w:r w:rsidRPr="009921BE">
              <w:rPr>
                <w:rFonts w:eastAsia="Times New Roman" w:cs="Times New Roman"/>
                <w:b/>
                <w:bCs/>
                <w:color w:val="000000"/>
                <w:lang w:val="en-AU" w:eastAsia="en-AU" w:bidi="ar-SA"/>
              </w:rPr>
              <w:t>Percentage of Year 5 students achieving at or above minimum standard (exempt students included)</w:t>
            </w:r>
          </w:p>
        </w:tc>
      </w:tr>
      <w:tr w:rsidR="00131784" w:rsidRPr="009921BE" w:rsidTr="00131784">
        <w:trPr>
          <w:trHeight w:val="300"/>
        </w:trPr>
        <w:tc>
          <w:tcPr>
            <w:tcW w:w="4280" w:type="dxa"/>
            <w:gridSpan w:val="2"/>
            <w:vMerge/>
            <w:tcBorders>
              <w:top w:val="single" w:sz="4" w:space="0" w:color="7F7F7F"/>
              <w:left w:val="single" w:sz="4" w:space="0" w:color="7F7F7F"/>
              <w:bottom w:val="single" w:sz="4" w:space="0" w:color="7F7F7F"/>
              <w:right w:val="single" w:sz="4" w:space="0" w:color="7F7F7F"/>
            </w:tcBorders>
            <w:vAlign w:val="center"/>
            <w:hideMark/>
          </w:tcPr>
          <w:p w:rsidR="00131784" w:rsidRPr="009921BE" w:rsidRDefault="00131784" w:rsidP="00131784">
            <w:pPr>
              <w:spacing w:after="0" w:line="240" w:lineRule="auto"/>
              <w:rPr>
                <w:rFonts w:eastAsia="Times New Roman" w:cs="Times New Roman"/>
                <w:b/>
                <w:bCs/>
                <w:color w:val="000000"/>
                <w:lang w:val="en-AU" w:eastAsia="en-AU" w:bidi="ar-SA"/>
              </w:rPr>
            </w:pPr>
          </w:p>
        </w:tc>
      </w:tr>
      <w:tr w:rsidR="00131784" w:rsidRPr="009921BE" w:rsidTr="00131784">
        <w:trPr>
          <w:trHeight w:val="300"/>
        </w:trPr>
        <w:tc>
          <w:tcPr>
            <w:tcW w:w="4280" w:type="dxa"/>
            <w:gridSpan w:val="2"/>
            <w:vMerge/>
            <w:tcBorders>
              <w:top w:val="single" w:sz="4" w:space="0" w:color="7F7F7F"/>
              <w:left w:val="single" w:sz="4" w:space="0" w:color="7F7F7F"/>
              <w:bottom w:val="single" w:sz="4" w:space="0" w:color="7F7F7F"/>
              <w:right w:val="single" w:sz="4" w:space="0" w:color="7F7F7F"/>
            </w:tcBorders>
            <w:vAlign w:val="center"/>
            <w:hideMark/>
          </w:tcPr>
          <w:p w:rsidR="00131784" w:rsidRPr="009921BE" w:rsidRDefault="00131784" w:rsidP="00131784">
            <w:pPr>
              <w:spacing w:after="0" w:line="240" w:lineRule="auto"/>
              <w:rPr>
                <w:rFonts w:eastAsia="Times New Roman" w:cs="Times New Roman"/>
                <w:b/>
                <w:bCs/>
                <w:color w:val="000000"/>
                <w:lang w:val="en-AU" w:eastAsia="en-AU" w:bidi="ar-SA"/>
              </w:rPr>
            </w:pPr>
          </w:p>
        </w:tc>
      </w:tr>
      <w:tr w:rsidR="00131784" w:rsidRPr="009921BE" w:rsidTr="00131784">
        <w:trPr>
          <w:trHeight w:val="300"/>
        </w:trPr>
        <w:tc>
          <w:tcPr>
            <w:tcW w:w="3621"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Reading</w:t>
            </w:r>
          </w:p>
        </w:tc>
        <w:tc>
          <w:tcPr>
            <w:tcW w:w="659"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95.0</w:t>
            </w:r>
          </w:p>
        </w:tc>
      </w:tr>
      <w:tr w:rsidR="00131784" w:rsidRPr="009921BE" w:rsidTr="00131784">
        <w:trPr>
          <w:trHeight w:val="300"/>
        </w:trPr>
        <w:tc>
          <w:tcPr>
            <w:tcW w:w="3621"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Writing</w:t>
            </w:r>
          </w:p>
        </w:tc>
        <w:tc>
          <w:tcPr>
            <w:tcW w:w="659"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97.5</w:t>
            </w:r>
          </w:p>
        </w:tc>
      </w:tr>
      <w:tr w:rsidR="00131784" w:rsidRPr="009921BE" w:rsidTr="00131784">
        <w:trPr>
          <w:trHeight w:val="300"/>
        </w:trPr>
        <w:tc>
          <w:tcPr>
            <w:tcW w:w="3621"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Spelling</w:t>
            </w:r>
          </w:p>
        </w:tc>
        <w:tc>
          <w:tcPr>
            <w:tcW w:w="659"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97.5</w:t>
            </w:r>
          </w:p>
        </w:tc>
      </w:tr>
      <w:tr w:rsidR="00131784" w:rsidRPr="009921BE" w:rsidTr="00131784">
        <w:trPr>
          <w:trHeight w:val="330"/>
        </w:trPr>
        <w:tc>
          <w:tcPr>
            <w:tcW w:w="3621"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Grammar &amp; Punctuation</w:t>
            </w:r>
          </w:p>
        </w:tc>
        <w:tc>
          <w:tcPr>
            <w:tcW w:w="659"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97.5</w:t>
            </w:r>
          </w:p>
        </w:tc>
      </w:tr>
      <w:tr w:rsidR="00131784" w:rsidRPr="009921BE" w:rsidTr="00131784">
        <w:trPr>
          <w:trHeight w:val="330"/>
        </w:trPr>
        <w:tc>
          <w:tcPr>
            <w:tcW w:w="3621" w:type="dxa"/>
            <w:tcBorders>
              <w:top w:val="single" w:sz="4" w:space="0" w:color="7F7F7F"/>
              <w:left w:val="single" w:sz="4" w:space="0" w:color="7F7F7F"/>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rPr>
                <w:rFonts w:eastAsia="Times New Roman" w:cs="Times New Roman"/>
                <w:color w:val="000000"/>
                <w:lang w:val="en-AU" w:eastAsia="en-AU" w:bidi="ar-SA"/>
              </w:rPr>
            </w:pPr>
            <w:r w:rsidRPr="009921BE">
              <w:rPr>
                <w:rFonts w:eastAsia="Times New Roman" w:cs="Times New Roman"/>
                <w:color w:val="000000"/>
                <w:lang w:val="en-AU" w:eastAsia="en-AU" w:bidi="ar-SA"/>
              </w:rPr>
              <w:t>Numeracy</w:t>
            </w:r>
          </w:p>
        </w:tc>
        <w:tc>
          <w:tcPr>
            <w:tcW w:w="659" w:type="dxa"/>
            <w:tcBorders>
              <w:top w:val="nil"/>
              <w:left w:val="nil"/>
              <w:bottom w:val="single" w:sz="4" w:space="0" w:color="7F7F7F"/>
              <w:right w:val="single" w:sz="4" w:space="0" w:color="7F7F7F"/>
            </w:tcBorders>
            <w:shd w:val="clear" w:color="000000" w:fill="FFFFFF"/>
            <w:noWrap/>
            <w:vAlign w:val="bottom"/>
            <w:hideMark/>
          </w:tcPr>
          <w:p w:rsidR="00131784" w:rsidRPr="009921BE" w:rsidRDefault="00131784" w:rsidP="00131784">
            <w:pPr>
              <w:spacing w:after="0" w:line="240" w:lineRule="auto"/>
              <w:jc w:val="center"/>
              <w:rPr>
                <w:rFonts w:eastAsia="Times New Roman" w:cs="Times New Roman"/>
                <w:color w:val="000000"/>
                <w:lang w:val="en-AU" w:eastAsia="en-AU" w:bidi="ar-SA"/>
              </w:rPr>
            </w:pPr>
            <w:r w:rsidRPr="009921BE">
              <w:rPr>
                <w:rFonts w:eastAsia="Times New Roman" w:cs="Times New Roman"/>
                <w:color w:val="000000"/>
                <w:lang w:val="en-AU" w:eastAsia="en-AU" w:bidi="ar-SA"/>
              </w:rPr>
              <w:t>95.0</w:t>
            </w:r>
          </w:p>
        </w:tc>
      </w:tr>
    </w:tbl>
    <w:p w:rsidR="009974E3" w:rsidRPr="009921BE" w:rsidRDefault="009974E3" w:rsidP="00FD59D8">
      <w:pPr>
        <w:pStyle w:val="ASRHeading2"/>
        <w:outlineLvl w:val="1"/>
        <w:rPr>
          <w:sz w:val="22"/>
        </w:rPr>
      </w:pPr>
      <w:bookmarkStart w:id="29" w:name="_Toc306703599"/>
      <w:r w:rsidRPr="009921BE">
        <w:rPr>
          <w:sz w:val="22"/>
        </w:rPr>
        <w:lastRenderedPageBreak/>
        <w:t>Significant programs and initiatives</w:t>
      </w:r>
      <w:bookmarkEnd w:id="26"/>
      <w:bookmarkEnd w:id="27"/>
      <w:bookmarkEnd w:id="28"/>
      <w:bookmarkEnd w:id="29"/>
    </w:p>
    <w:p w:rsidR="00FB554A" w:rsidRPr="009921BE" w:rsidRDefault="00FB554A" w:rsidP="00FB554A">
      <w:pPr>
        <w:pStyle w:val="ASRHeading3"/>
        <w:jc w:val="center"/>
        <w:rPr>
          <w:rFonts w:asciiTheme="minorHAnsi" w:hAnsiTheme="minorHAnsi" w:cs="Arial"/>
          <w:sz w:val="22"/>
          <w:szCs w:val="22"/>
        </w:rPr>
      </w:pPr>
      <w:bookmarkStart w:id="30" w:name="_Toc306703600"/>
      <w:r w:rsidRPr="009921BE">
        <w:rPr>
          <w:rFonts w:asciiTheme="minorHAnsi" w:hAnsiTheme="minorHAnsi" w:cs="Arial"/>
          <w:sz w:val="22"/>
          <w:szCs w:val="22"/>
        </w:rPr>
        <w:t>Stage 1</w:t>
      </w:r>
    </w:p>
    <w:p w:rsidR="00FB554A" w:rsidRPr="009921BE" w:rsidRDefault="00DA697D" w:rsidP="00FB554A">
      <w:pPr>
        <w:pStyle w:val="ASRBodyText"/>
        <w:rPr>
          <w:rFonts w:cs="Arial"/>
        </w:rPr>
      </w:pPr>
      <w:r>
        <w:rPr>
          <w:rFonts w:cs="Arial"/>
        </w:rPr>
        <w:t>All Stage 1 classes are</w:t>
      </w:r>
      <w:r w:rsidR="00FB554A" w:rsidRPr="009921BE">
        <w:rPr>
          <w:rFonts w:cs="Arial"/>
        </w:rPr>
        <w:t xml:space="preserve"> equipped with Interactive White Boards </w:t>
      </w:r>
      <w:r>
        <w:rPr>
          <w:rFonts w:cs="Arial"/>
        </w:rPr>
        <w:t>(IWBs)</w:t>
      </w:r>
      <w:r w:rsidR="00FB554A" w:rsidRPr="009921BE">
        <w:rPr>
          <w:rFonts w:cs="Arial"/>
        </w:rPr>
        <w:t>. The challenge presented to teachers was to effectively incorporate IWBs into their Teaching and Learning practice. As such, a major focus of professional learning in Stage 1 continues to be the integration of technology into every aspect of the curriculum to prepare students to live, learn and work in a digital society.</w:t>
      </w:r>
    </w:p>
    <w:p w:rsidR="00FB554A" w:rsidRPr="009921BE" w:rsidRDefault="00FB554A" w:rsidP="00FB554A">
      <w:pPr>
        <w:pStyle w:val="ASRBodyText"/>
        <w:numPr>
          <w:ilvl w:val="0"/>
          <w:numId w:val="20"/>
        </w:numPr>
        <w:spacing w:after="0"/>
        <w:rPr>
          <w:rFonts w:cs="Arial"/>
        </w:rPr>
      </w:pPr>
      <w:r w:rsidRPr="009921BE">
        <w:rPr>
          <w:rFonts w:cs="Arial"/>
        </w:rPr>
        <w:t>New Teaching and Learning programs were written to expand the use of technology across the curriculum. These were linked to the Quality Teaching framework.</w:t>
      </w:r>
    </w:p>
    <w:p w:rsidR="00FB554A" w:rsidRPr="009921BE" w:rsidRDefault="00FB554A" w:rsidP="00FB554A">
      <w:pPr>
        <w:pStyle w:val="ASRBodyText"/>
        <w:numPr>
          <w:ilvl w:val="0"/>
          <w:numId w:val="20"/>
        </w:numPr>
        <w:spacing w:after="0"/>
        <w:rPr>
          <w:rFonts w:cs="Arial"/>
        </w:rPr>
      </w:pPr>
      <w:r w:rsidRPr="009921BE">
        <w:rPr>
          <w:rFonts w:cs="Arial"/>
        </w:rPr>
        <w:t>Teaching programs were uploaded and shared digitally using Notebook software. These can now be accessed by Stage 1 teachers on any IWB.</w:t>
      </w:r>
    </w:p>
    <w:p w:rsidR="00FB554A" w:rsidRPr="009921BE" w:rsidRDefault="00FB554A" w:rsidP="00FB554A">
      <w:pPr>
        <w:pStyle w:val="ASRBodyText"/>
        <w:numPr>
          <w:ilvl w:val="0"/>
          <w:numId w:val="20"/>
        </w:numPr>
        <w:spacing w:after="0"/>
        <w:rPr>
          <w:rFonts w:cs="Arial"/>
        </w:rPr>
      </w:pPr>
      <w:r w:rsidRPr="009921BE">
        <w:rPr>
          <w:rFonts w:cs="Arial"/>
        </w:rPr>
        <w:t>A range of commercially produced software for English and mathematics was trialed and some were consequently purchased. The use of well-designed IWB software has helped to accommodate different learning styles such as visual, tactile and auditory preferences.</w:t>
      </w:r>
    </w:p>
    <w:p w:rsidR="00FB554A" w:rsidRPr="009921BE" w:rsidRDefault="00FB554A" w:rsidP="00FB554A">
      <w:pPr>
        <w:pStyle w:val="ASRBodyText"/>
        <w:numPr>
          <w:ilvl w:val="0"/>
          <w:numId w:val="20"/>
        </w:numPr>
        <w:spacing w:after="0"/>
        <w:rPr>
          <w:rFonts w:cs="Arial"/>
        </w:rPr>
      </w:pPr>
      <w:r w:rsidRPr="009921BE">
        <w:rPr>
          <w:rFonts w:cs="Arial"/>
        </w:rPr>
        <w:t>A class Blog was trialed using the DET BlogEd software. This stimulated interest and motivation in learning and established a strong connection with the parent community beyond the classroom.</w:t>
      </w:r>
    </w:p>
    <w:p w:rsidR="00FB554A" w:rsidRPr="009921BE" w:rsidRDefault="00FB554A" w:rsidP="00FB554A">
      <w:pPr>
        <w:pStyle w:val="ASRBodyText"/>
        <w:numPr>
          <w:ilvl w:val="0"/>
          <w:numId w:val="20"/>
        </w:numPr>
        <w:spacing w:after="0"/>
        <w:rPr>
          <w:rFonts w:cs="Arial"/>
        </w:rPr>
      </w:pPr>
      <w:r w:rsidRPr="009921BE">
        <w:rPr>
          <w:rFonts w:cs="Arial"/>
        </w:rPr>
        <w:t xml:space="preserve">In Numeracy, </w:t>
      </w:r>
      <w:r w:rsidR="00EF0EC2">
        <w:rPr>
          <w:rFonts w:cs="Arial"/>
        </w:rPr>
        <w:t>early stage 1 and stage 1 participated in the Targeting Early Numeracy program</w:t>
      </w:r>
      <w:r w:rsidRPr="009921BE">
        <w:rPr>
          <w:rFonts w:cs="Arial"/>
        </w:rPr>
        <w:t>. Tr</w:t>
      </w:r>
      <w:r w:rsidR="00EF0EC2">
        <w:rPr>
          <w:rFonts w:cs="Arial"/>
        </w:rPr>
        <w:t>aining has been provided in TEN</w:t>
      </w:r>
      <w:r w:rsidR="00DD459A">
        <w:rPr>
          <w:rFonts w:cs="Arial"/>
        </w:rPr>
        <w:t>S</w:t>
      </w:r>
      <w:r w:rsidRPr="009921BE">
        <w:rPr>
          <w:rFonts w:cs="Arial"/>
        </w:rPr>
        <w:t xml:space="preserve"> principles as well as in the initial assessment of students to enable improved tracking of numeracy results in the early years of schooling.</w:t>
      </w:r>
    </w:p>
    <w:p w:rsidR="00FB554A" w:rsidRPr="009921BE" w:rsidRDefault="00FB554A" w:rsidP="00FB554A">
      <w:pPr>
        <w:pStyle w:val="ASRBodyText"/>
        <w:numPr>
          <w:ilvl w:val="0"/>
          <w:numId w:val="20"/>
        </w:numPr>
        <w:spacing w:after="0"/>
        <w:rPr>
          <w:rFonts w:cs="Arial"/>
        </w:rPr>
      </w:pPr>
      <w:r w:rsidRPr="009921BE">
        <w:rPr>
          <w:rFonts w:cs="Arial"/>
        </w:rPr>
        <w:t>All Stage 1 students participated in a Science Fun Day. Students explored different forms of energy through a series of practical science experiments.</w:t>
      </w:r>
    </w:p>
    <w:p w:rsidR="00FB554A" w:rsidRPr="009921BE" w:rsidRDefault="00FB554A" w:rsidP="00FB554A">
      <w:pPr>
        <w:pStyle w:val="ASRBodyText"/>
        <w:numPr>
          <w:ilvl w:val="0"/>
          <w:numId w:val="20"/>
        </w:numPr>
        <w:spacing w:after="0"/>
        <w:rPr>
          <w:rFonts w:cs="Arial"/>
        </w:rPr>
      </w:pPr>
      <w:r w:rsidRPr="009921BE">
        <w:rPr>
          <w:rFonts w:cs="Arial"/>
        </w:rPr>
        <w:t xml:space="preserve">Stage 1 went on excursions to local art galleries, </w:t>
      </w:r>
      <w:r w:rsidRPr="009921BE">
        <w:rPr>
          <w:rFonts w:cs="Arial"/>
          <w:i/>
        </w:rPr>
        <w:t>Wagana</w:t>
      </w:r>
      <w:r w:rsidRPr="009921BE">
        <w:rPr>
          <w:rFonts w:cs="Arial"/>
        </w:rPr>
        <w:t xml:space="preserve">, an aboriginal dance performance, a </w:t>
      </w:r>
      <w:r w:rsidRPr="009921BE">
        <w:rPr>
          <w:rFonts w:cs="Arial"/>
          <w:i/>
        </w:rPr>
        <w:t>Musica Viva</w:t>
      </w:r>
      <w:r w:rsidRPr="009921BE">
        <w:rPr>
          <w:rFonts w:cs="Arial"/>
        </w:rPr>
        <w:t xml:space="preserve"> concert at Homebush and a heritage walk through the Blackheath township and the Rhododendron Gardens.</w:t>
      </w:r>
    </w:p>
    <w:p w:rsidR="00FB554A" w:rsidRPr="009921BE" w:rsidRDefault="00FB554A" w:rsidP="00FB554A">
      <w:pPr>
        <w:pStyle w:val="ASRHeading3"/>
        <w:rPr>
          <w:rFonts w:asciiTheme="minorHAnsi" w:hAnsiTheme="minorHAnsi"/>
          <w:sz w:val="22"/>
          <w:szCs w:val="22"/>
        </w:rPr>
      </w:pPr>
    </w:p>
    <w:p w:rsidR="001541D3" w:rsidRPr="009921BE" w:rsidRDefault="001541D3" w:rsidP="001541D3">
      <w:pPr>
        <w:pStyle w:val="ASRHeading3"/>
        <w:jc w:val="center"/>
        <w:rPr>
          <w:rFonts w:asciiTheme="minorHAnsi" w:hAnsiTheme="minorHAnsi"/>
          <w:sz w:val="22"/>
          <w:szCs w:val="22"/>
        </w:rPr>
      </w:pPr>
      <w:r w:rsidRPr="009921BE">
        <w:rPr>
          <w:rFonts w:asciiTheme="minorHAnsi" w:hAnsiTheme="minorHAnsi"/>
          <w:sz w:val="22"/>
          <w:szCs w:val="22"/>
        </w:rPr>
        <w:lastRenderedPageBreak/>
        <w:t>Stage 2</w:t>
      </w:r>
    </w:p>
    <w:p w:rsidR="001541D3" w:rsidRPr="009921BE" w:rsidRDefault="001541D3" w:rsidP="001541D3">
      <w:pPr>
        <w:pStyle w:val="ASRBodyText"/>
        <w:rPr>
          <w:rFonts w:cs="Arial"/>
        </w:rPr>
      </w:pPr>
      <w:r w:rsidRPr="009921BE">
        <w:rPr>
          <w:rFonts w:cs="Arial"/>
        </w:rPr>
        <w:t>Stage 2 has worked towards merging units of work that link clearly with Stage 3 and Stage 1. Work achieved by staff on Stage 2 has included the following:</w:t>
      </w:r>
    </w:p>
    <w:p w:rsidR="001541D3" w:rsidRPr="009921BE" w:rsidRDefault="001541D3" w:rsidP="001541D3">
      <w:pPr>
        <w:pStyle w:val="ASRBodyText"/>
        <w:numPr>
          <w:ilvl w:val="0"/>
          <w:numId w:val="17"/>
        </w:numPr>
        <w:spacing w:after="0"/>
        <w:rPr>
          <w:rFonts w:cs="Arial"/>
        </w:rPr>
      </w:pPr>
      <w:r w:rsidRPr="009921BE">
        <w:rPr>
          <w:rFonts w:cs="Arial"/>
        </w:rPr>
        <w:t>Continued adaptation of published COGS units to suit the needs of Stage 2 children, building in literature and technology.</w:t>
      </w:r>
    </w:p>
    <w:p w:rsidR="001541D3" w:rsidRPr="009921BE" w:rsidRDefault="001541D3" w:rsidP="001541D3">
      <w:pPr>
        <w:pStyle w:val="ASRBodyText"/>
        <w:numPr>
          <w:ilvl w:val="0"/>
          <w:numId w:val="17"/>
        </w:numPr>
        <w:spacing w:after="0"/>
        <w:rPr>
          <w:rFonts w:cs="Arial"/>
        </w:rPr>
      </w:pPr>
      <w:r w:rsidRPr="009921BE">
        <w:rPr>
          <w:rFonts w:cs="Arial"/>
        </w:rPr>
        <w:t xml:space="preserve">Continued development of a focused approach to writing and the assessment of writing including explicit teaching in grammar, sentence structure and spelling. </w:t>
      </w:r>
    </w:p>
    <w:p w:rsidR="001541D3" w:rsidRPr="009921BE" w:rsidRDefault="001541D3" w:rsidP="001541D3">
      <w:pPr>
        <w:pStyle w:val="ASRBodyText"/>
        <w:numPr>
          <w:ilvl w:val="0"/>
          <w:numId w:val="17"/>
        </w:numPr>
        <w:spacing w:after="0"/>
        <w:rPr>
          <w:rFonts w:cs="Arial"/>
        </w:rPr>
      </w:pPr>
      <w:r w:rsidRPr="009921BE">
        <w:rPr>
          <w:rFonts w:cs="Arial"/>
        </w:rPr>
        <w:t>Stage 2 children have been grouped for mathematics allowing teachers to target the needs of individual children as they learn math’s concepts.</w:t>
      </w:r>
    </w:p>
    <w:p w:rsidR="001541D3" w:rsidRPr="009921BE" w:rsidRDefault="001541D3" w:rsidP="001541D3">
      <w:pPr>
        <w:pStyle w:val="ASRBodyText"/>
        <w:numPr>
          <w:ilvl w:val="0"/>
          <w:numId w:val="17"/>
        </w:numPr>
        <w:spacing w:after="0"/>
        <w:rPr>
          <w:rFonts w:cs="Arial"/>
        </w:rPr>
      </w:pPr>
      <w:r w:rsidRPr="009921BE">
        <w:rPr>
          <w:rFonts w:cs="Arial"/>
        </w:rPr>
        <w:t>Development of a skills-based fitness program that targets gross motor skills. The school is registered as a Crunch and Sip school. We have continued the development of fundamental movement skills.</w:t>
      </w:r>
    </w:p>
    <w:p w:rsidR="001541D3" w:rsidRPr="009921BE" w:rsidRDefault="001541D3" w:rsidP="001541D3">
      <w:pPr>
        <w:pStyle w:val="ASRBodyText"/>
        <w:numPr>
          <w:ilvl w:val="0"/>
          <w:numId w:val="17"/>
        </w:numPr>
        <w:spacing w:after="0"/>
        <w:rPr>
          <w:rFonts w:cs="Arial"/>
        </w:rPr>
      </w:pPr>
      <w:r w:rsidRPr="009921BE">
        <w:rPr>
          <w:rFonts w:cs="Arial"/>
        </w:rPr>
        <w:t>In Term 3, to improve physical fitness, students participated in a gymnastics program conducted by trained instructors. All students participated in the Premier’s Sporting Challenge, achieving, Gold, Silver or Bronze accreditation</w:t>
      </w:r>
    </w:p>
    <w:p w:rsidR="001541D3" w:rsidRPr="009921BE" w:rsidRDefault="001541D3" w:rsidP="001541D3">
      <w:pPr>
        <w:pStyle w:val="ASRBodyText"/>
        <w:numPr>
          <w:ilvl w:val="0"/>
          <w:numId w:val="17"/>
        </w:numPr>
        <w:spacing w:after="0"/>
        <w:rPr>
          <w:rFonts w:cs="Arial"/>
        </w:rPr>
      </w:pPr>
      <w:r w:rsidRPr="009921BE">
        <w:rPr>
          <w:rFonts w:cs="Arial"/>
        </w:rPr>
        <w:t xml:space="preserve">Stage 2 travelled to Sydney Observatory and the S.H. Ervin Gallery to enhance their understanding of the solar system and Australian identity. </w:t>
      </w:r>
    </w:p>
    <w:p w:rsidR="001541D3" w:rsidRPr="009921BE" w:rsidRDefault="001541D3" w:rsidP="001541D3">
      <w:pPr>
        <w:pStyle w:val="ASRBodyText"/>
        <w:numPr>
          <w:ilvl w:val="0"/>
          <w:numId w:val="17"/>
        </w:numPr>
        <w:spacing w:after="0"/>
        <w:rPr>
          <w:rFonts w:cs="Arial"/>
        </w:rPr>
      </w:pPr>
      <w:r w:rsidRPr="009921BE">
        <w:rPr>
          <w:rFonts w:cs="Arial"/>
        </w:rPr>
        <w:t>Stage 2 students engaged in local and community walks to further their studies of local government and the history of the local area.</w:t>
      </w:r>
    </w:p>
    <w:p w:rsidR="001541D3" w:rsidRPr="009921BE" w:rsidRDefault="001541D3" w:rsidP="001541D3">
      <w:pPr>
        <w:pStyle w:val="ASRBodyText"/>
        <w:numPr>
          <w:ilvl w:val="0"/>
          <w:numId w:val="17"/>
        </w:numPr>
        <w:spacing w:after="0"/>
        <w:rPr>
          <w:rFonts w:cs="Arial"/>
        </w:rPr>
      </w:pPr>
      <w:r w:rsidRPr="009921BE">
        <w:rPr>
          <w:rFonts w:cs="Arial"/>
        </w:rPr>
        <w:t>Students in Year 4 attended Brewongle Environmental Education Centre at Sackville for a three-day camp, which involved environmental and historical studies.</w:t>
      </w:r>
    </w:p>
    <w:p w:rsidR="001541D3" w:rsidRPr="009921BE" w:rsidRDefault="001541D3" w:rsidP="001541D3"/>
    <w:p w:rsidR="00FB554A" w:rsidRPr="009921BE" w:rsidRDefault="00FB554A" w:rsidP="001541D3">
      <w:pPr>
        <w:pStyle w:val="ASRHeading3"/>
        <w:jc w:val="center"/>
        <w:rPr>
          <w:rFonts w:asciiTheme="minorHAnsi" w:hAnsiTheme="minorHAnsi"/>
          <w:sz w:val="22"/>
          <w:szCs w:val="22"/>
        </w:rPr>
      </w:pPr>
    </w:p>
    <w:p w:rsidR="001541D3" w:rsidRPr="009921BE" w:rsidRDefault="001541D3" w:rsidP="001541D3">
      <w:pPr>
        <w:pStyle w:val="ASRHeading3"/>
        <w:jc w:val="center"/>
        <w:rPr>
          <w:rFonts w:asciiTheme="minorHAnsi" w:hAnsiTheme="minorHAnsi"/>
          <w:sz w:val="22"/>
          <w:szCs w:val="22"/>
        </w:rPr>
      </w:pPr>
      <w:r w:rsidRPr="009921BE">
        <w:rPr>
          <w:rFonts w:asciiTheme="minorHAnsi" w:hAnsiTheme="minorHAnsi"/>
          <w:sz w:val="22"/>
          <w:szCs w:val="22"/>
        </w:rPr>
        <w:t>Stage 3</w:t>
      </w:r>
    </w:p>
    <w:p w:rsidR="001541D3" w:rsidRPr="009921BE" w:rsidRDefault="001541D3" w:rsidP="001541D3">
      <w:pPr>
        <w:pStyle w:val="ASRHeading3"/>
        <w:rPr>
          <w:rFonts w:asciiTheme="minorHAnsi" w:hAnsiTheme="minorHAnsi" w:cs="Arial"/>
          <w:b w:val="0"/>
          <w:sz w:val="22"/>
          <w:szCs w:val="22"/>
        </w:rPr>
      </w:pPr>
      <w:r w:rsidRPr="009921BE">
        <w:rPr>
          <w:rFonts w:asciiTheme="minorHAnsi" w:hAnsiTheme="minorHAnsi" w:cs="Arial"/>
          <w:b w:val="0"/>
          <w:sz w:val="22"/>
          <w:szCs w:val="22"/>
        </w:rPr>
        <w:t xml:space="preserve">Stage 3 has continued to work towards merging the COGS units of work with our own Blackheath units. Work has also been done on ensuring a smooth link with Stage 2. </w:t>
      </w:r>
    </w:p>
    <w:p w:rsidR="001541D3" w:rsidRPr="009921BE" w:rsidRDefault="001541D3" w:rsidP="001541D3">
      <w:pPr>
        <w:pStyle w:val="ASRHeading3"/>
        <w:rPr>
          <w:rFonts w:asciiTheme="minorHAnsi" w:hAnsiTheme="minorHAnsi" w:cs="Arial"/>
          <w:b w:val="0"/>
          <w:sz w:val="22"/>
          <w:szCs w:val="22"/>
        </w:rPr>
      </w:pPr>
      <w:r w:rsidRPr="009921BE">
        <w:rPr>
          <w:rFonts w:asciiTheme="minorHAnsi" w:hAnsiTheme="minorHAnsi" w:cs="Arial"/>
          <w:b w:val="0"/>
          <w:sz w:val="22"/>
          <w:szCs w:val="22"/>
        </w:rPr>
        <w:lastRenderedPageBreak/>
        <w:t>During 2011 Stage 3 teachers continued to work on improving the writing of their students using     ideas suggested during consultant visits.</w:t>
      </w:r>
    </w:p>
    <w:p w:rsidR="001541D3" w:rsidRPr="009921BE" w:rsidRDefault="001541D3" w:rsidP="001541D3">
      <w:pPr>
        <w:pStyle w:val="ASRHeading3"/>
        <w:rPr>
          <w:rFonts w:asciiTheme="minorHAnsi" w:hAnsiTheme="minorHAnsi" w:cs="Arial"/>
          <w:b w:val="0"/>
          <w:sz w:val="22"/>
          <w:szCs w:val="22"/>
        </w:rPr>
      </w:pPr>
      <w:r w:rsidRPr="009921BE">
        <w:rPr>
          <w:rFonts w:asciiTheme="minorHAnsi" w:hAnsiTheme="minorHAnsi" w:cs="Arial"/>
          <w:b w:val="0"/>
          <w:sz w:val="22"/>
          <w:szCs w:val="22"/>
        </w:rPr>
        <w:t xml:space="preserve">Stage 3 teachers also continued to work towards improved Numeracy results by all implementing Counting On strategies and investigating the use of SENA as a diagnostic tool for those experiencing difficulty with mathematical concepts. They ran a very successful Peer Support Program K-6 late in Term 1 which led to a fantastic Games Day in early Term 2. </w:t>
      </w:r>
    </w:p>
    <w:p w:rsidR="001541D3" w:rsidRPr="009921BE" w:rsidRDefault="001541D3" w:rsidP="001541D3">
      <w:pPr>
        <w:pStyle w:val="ASRHeading3"/>
        <w:rPr>
          <w:rFonts w:asciiTheme="minorHAnsi" w:hAnsiTheme="minorHAnsi" w:cs="Arial"/>
          <w:b w:val="0"/>
          <w:sz w:val="22"/>
          <w:szCs w:val="22"/>
        </w:rPr>
      </w:pPr>
      <w:r w:rsidRPr="009921BE">
        <w:rPr>
          <w:rFonts w:asciiTheme="minorHAnsi" w:hAnsiTheme="minorHAnsi" w:cs="Arial"/>
          <w:b w:val="0"/>
          <w:sz w:val="22"/>
          <w:szCs w:val="22"/>
        </w:rPr>
        <w:t>Activities in Stage 3 have included the following:</w:t>
      </w:r>
    </w:p>
    <w:p w:rsidR="001541D3" w:rsidRPr="009921BE" w:rsidRDefault="001541D3" w:rsidP="001541D3">
      <w:pPr>
        <w:pStyle w:val="ASRHeading3"/>
        <w:numPr>
          <w:ilvl w:val="0"/>
          <w:numId w:val="18"/>
        </w:numPr>
        <w:tabs>
          <w:tab w:val="clear" w:pos="294"/>
          <w:tab w:val="num" w:pos="502"/>
        </w:tabs>
        <w:spacing w:before="240" w:after="0"/>
        <w:ind w:left="502"/>
        <w:rPr>
          <w:rFonts w:asciiTheme="minorHAnsi" w:hAnsiTheme="minorHAnsi" w:cs="Arial"/>
          <w:b w:val="0"/>
          <w:sz w:val="22"/>
          <w:szCs w:val="22"/>
        </w:rPr>
      </w:pPr>
      <w:r w:rsidRPr="009921BE">
        <w:rPr>
          <w:rFonts w:asciiTheme="minorHAnsi" w:hAnsiTheme="minorHAnsi" w:cs="Arial"/>
          <w:b w:val="0"/>
          <w:sz w:val="22"/>
          <w:szCs w:val="22"/>
        </w:rPr>
        <w:t>We have been actively involved in expanding our students’ experiences in the Creative Arts. This year we visited the S. H. Ervin Gallery to view the ‘Salon des Refuses’ prize winners; took a number of students to the Sydney Writers’ Festival and attended a performance of ‘Grease’ at Katoomba High school; involvement in the design of the mural for the school hall.</w:t>
      </w:r>
    </w:p>
    <w:p w:rsidR="001541D3" w:rsidRPr="009921BE" w:rsidRDefault="001541D3" w:rsidP="001541D3">
      <w:pPr>
        <w:pStyle w:val="ASRHeading3"/>
        <w:numPr>
          <w:ilvl w:val="0"/>
          <w:numId w:val="18"/>
        </w:numPr>
        <w:tabs>
          <w:tab w:val="clear" w:pos="294"/>
          <w:tab w:val="num" w:pos="502"/>
        </w:tabs>
        <w:spacing w:before="240" w:after="0"/>
        <w:ind w:left="502"/>
        <w:rPr>
          <w:rFonts w:asciiTheme="minorHAnsi" w:hAnsiTheme="minorHAnsi" w:cs="Arial"/>
          <w:b w:val="0"/>
          <w:sz w:val="22"/>
          <w:szCs w:val="22"/>
        </w:rPr>
      </w:pPr>
      <w:r w:rsidRPr="009921BE">
        <w:rPr>
          <w:rFonts w:asciiTheme="minorHAnsi" w:hAnsiTheme="minorHAnsi" w:cs="Arial"/>
          <w:b w:val="0"/>
          <w:sz w:val="22"/>
          <w:szCs w:val="22"/>
        </w:rPr>
        <w:t>In term 4, Stage 3 students participated in a five-day ‘Out West’ excursion to the Riverina and Victoria. This excursion was the culmination of learning in Stage 3 for 2011, including the study of trade, the Murray-Darling River system, Australian Identity and Federation.</w:t>
      </w:r>
    </w:p>
    <w:p w:rsidR="001541D3" w:rsidRPr="009921BE" w:rsidRDefault="001541D3" w:rsidP="001541D3">
      <w:pPr>
        <w:pStyle w:val="ASRHeading3"/>
        <w:numPr>
          <w:ilvl w:val="0"/>
          <w:numId w:val="18"/>
        </w:numPr>
        <w:tabs>
          <w:tab w:val="clear" w:pos="294"/>
          <w:tab w:val="num" w:pos="502"/>
        </w:tabs>
        <w:spacing w:before="240" w:after="0"/>
        <w:ind w:left="502"/>
        <w:rPr>
          <w:rFonts w:asciiTheme="minorHAnsi" w:hAnsiTheme="minorHAnsi" w:cs="Arial"/>
          <w:b w:val="0"/>
          <w:sz w:val="22"/>
          <w:szCs w:val="22"/>
        </w:rPr>
      </w:pPr>
      <w:r w:rsidRPr="009921BE">
        <w:rPr>
          <w:rFonts w:asciiTheme="minorHAnsi" w:hAnsiTheme="minorHAnsi" w:cs="Arial"/>
          <w:b w:val="0"/>
          <w:sz w:val="22"/>
          <w:szCs w:val="22"/>
        </w:rPr>
        <w:t>In Term 4, stage 3 students were involved in writing workshops conducted by the Community Development Officer of BANC and a local publisher.</w:t>
      </w:r>
    </w:p>
    <w:p w:rsidR="001541D3" w:rsidRPr="009921BE" w:rsidRDefault="001541D3" w:rsidP="001541D3">
      <w:pPr>
        <w:pStyle w:val="ASRHeading3"/>
        <w:numPr>
          <w:ilvl w:val="0"/>
          <w:numId w:val="18"/>
        </w:numPr>
        <w:tabs>
          <w:tab w:val="clear" w:pos="294"/>
          <w:tab w:val="num" w:pos="502"/>
        </w:tabs>
        <w:spacing w:before="240" w:after="0"/>
        <w:ind w:left="502"/>
        <w:rPr>
          <w:rFonts w:asciiTheme="minorHAnsi" w:hAnsiTheme="minorHAnsi" w:cs="Arial"/>
          <w:b w:val="0"/>
          <w:sz w:val="22"/>
          <w:szCs w:val="22"/>
        </w:rPr>
      </w:pPr>
      <w:r w:rsidRPr="009921BE">
        <w:rPr>
          <w:rFonts w:asciiTheme="minorHAnsi" w:hAnsiTheme="minorHAnsi" w:cs="Arial"/>
          <w:b w:val="0"/>
          <w:sz w:val="22"/>
          <w:szCs w:val="22"/>
        </w:rPr>
        <w:t>We have been intent on expanding the experiences and understanding of environmental issues for our students. Some of the activities in which Stage 3 students have been involved include:</w:t>
      </w:r>
    </w:p>
    <w:p w:rsidR="001541D3" w:rsidRPr="009921BE" w:rsidRDefault="001541D3" w:rsidP="001541D3">
      <w:pPr>
        <w:pStyle w:val="ASRHeading3"/>
        <w:numPr>
          <w:ilvl w:val="0"/>
          <w:numId w:val="19"/>
        </w:numPr>
        <w:spacing w:before="240" w:after="0"/>
        <w:rPr>
          <w:rFonts w:asciiTheme="minorHAnsi" w:hAnsiTheme="minorHAnsi" w:cs="Arial"/>
          <w:b w:val="0"/>
          <w:sz w:val="22"/>
          <w:szCs w:val="22"/>
        </w:rPr>
      </w:pPr>
      <w:r w:rsidRPr="009921BE">
        <w:rPr>
          <w:rFonts w:asciiTheme="minorHAnsi" w:hAnsiTheme="minorHAnsi" w:cs="Arial"/>
          <w:b w:val="0"/>
          <w:sz w:val="22"/>
          <w:szCs w:val="22"/>
        </w:rPr>
        <w:t>Murder Under the Microscope</w:t>
      </w:r>
    </w:p>
    <w:p w:rsidR="001541D3" w:rsidRDefault="001541D3" w:rsidP="001541D3">
      <w:pPr>
        <w:pStyle w:val="ASRHeading3"/>
        <w:numPr>
          <w:ilvl w:val="0"/>
          <w:numId w:val="19"/>
        </w:numPr>
        <w:rPr>
          <w:rFonts w:asciiTheme="minorHAnsi" w:hAnsiTheme="minorHAnsi" w:cs="Arial"/>
          <w:b w:val="0"/>
          <w:sz w:val="22"/>
          <w:szCs w:val="22"/>
        </w:rPr>
      </w:pPr>
      <w:r w:rsidRPr="009921BE">
        <w:rPr>
          <w:rFonts w:asciiTheme="minorHAnsi" w:hAnsiTheme="minorHAnsi" w:cs="Arial"/>
          <w:b w:val="0"/>
          <w:sz w:val="22"/>
          <w:szCs w:val="22"/>
        </w:rPr>
        <w:t>Acceptance into the Climate Clever Energy Savers program. As part of this program, students developed and implemented strategies to reduce energy consumption in the school.</w:t>
      </w:r>
    </w:p>
    <w:p w:rsidR="00CA7AB6" w:rsidRPr="009921BE" w:rsidRDefault="00CA7AB6" w:rsidP="001541D3">
      <w:pPr>
        <w:pStyle w:val="ASRHeading3"/>
        <w:numPr>
          <w:ilvl w:val="0"/>
          <w:numId w:val="19"/>
        </w:numPr>
        <w:rPr>
          <w:rFonts w:asciiTheme="minorHAnsi" w:hAnsiTheme="minorHAnsi" w:cs="Arial"/>
          <w:b w:val="0"/>
          <w:sz w:val="22"/>
          <w:szCs w:val="22"/>
        </w:rPr>
      </w:pPr>
    </w:p>
    <w:p w:rsidR="001541D3" w:rsidRPr="00F87176" w:rsidRDefault="0016205F" w:rsidP="00FD59D8">
      <w:pPr>
        <w:pStyle w:val="ASRHeading3"/>
        <w:outlineLvl w:val="2"/>
        <w:rPr>
          <w:rFonts w:asciiTheme="minorHAnsi" w:hAnsiTheme="minorHAnsi"/>
        </w:rPr>
      </w:pPr>
      <w:r>
        <w:rPr>
          <w:rFonts w:asciiTheme="minorHAnsi" w:hAnsiTheme="minorHAnsi"/>
          <w:noProof/>
          <w:lang w:val="en-AU" w:eastAsia="en-AU" w:bidi="ar-SA"/>
        </w:rPr>
        <w:lastRenderedPageBreak/>
        <w:drawing>
          <wp:inline distT="0" distB="0" distL="0" distR="0">
            <wp:extent cx="2835275" cy="1882908"/>
            <wp:effectExtent l="19050" t="0" r="3175" b="0"/>
            <wp:docPr id="16" name="Picture 4" descr="C:\Documents and Settings\Staffuser\Desktop\Promotions\DSCF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affuser\Desktop\Promotions\DSCF0221.jpg"/>
                    <pic:cNvPicPr>
                      <a:picLocks noChangeAspect="1" noChangeArrowheads="1"/>
                    </pic:cNvPicPr>
                  </pic:nvPicPr>
                  <pic:blipFill>
                    <a:blip r:embed="rId30" cstate="print"/>
                    <a:srcRect/>
                    <a:stretch>
                      <a:fillRect/>
                    </a:stretch>
                  </pic:blipFill>
                  <pic:spPr bwMode="auto">
                    <a:xfrm>
                      <a:off x="0" y="0"/>
                      <a:ext cx="2835275" cy="1882908"/>
                    </a:xfrm>
                    <a:prstGeom prst="rect">
                      <a:avLst/>
                    </a:prstGeom>
                    <a:noFill/>
                    <a:ln w="9525">
                      <a:noFill/>
                      <a:miter lim="800000"/>
                      <a:headEnd/>
                      <a:tailEnd/>
                    </a:ln>
                  </pic:spPr>
                </pic:pic>
              </a:graphicData>
            </a:graphic>
          </wp:inline>
        </w:drawing>
      </w:r>
    </w:p>
    <w:p w:rsidR="00AB5E26" w:rsidRPr="00F87176" w:rsidRDefault="00AB5E26" w:rsidP="00AB5E26">
      <w:pPr>
        <w:pStyle w:val="ASRHeading3"/>
        <w:rPr>
          <w:rFonts w:asciiTheme="minorHAnsi" w:hAnsiTheme="minorHAnsi"/>
        </w:rPr>
      </w:pPr>
      <w:bookmarkStart w:id="31" w:name="_Toc306703601"/>
      <w:bookmarkEnd w:id="30"/>
    </w:p>
    <w:p w:rsidR="00AB5E26" w:rsidRPr="00F87176" w:rsidRDefault="00AB5E26" w:rsidP="00FB554A">
      <w:pPr>
        <w:pStyle w:val="ASRHeading3"/>
        <w:jc w:val="center"/>
        <w:rPr>
          <w:rFonts w:asciiTheme="minorHAnsi" w:hAnsiTheme="minorHAnsi"/>
        </w:rPr>
      </w:pPr>
      <w:r w:rsidRPr="00F87176">
        <w:rPr>
          <w:rFonts w:asciiTheme="minorHAnsi" w:hAnsiTheme="minorHAnsi"/>
        </w:rPr>
        <w:t>Aboriginal Education</w:t>
      </w:r>
    </w:p>
    <w:p w:rsidR="00AB5E26" w:rsidRPr="009921BE" w:rsidRDefault="00AB5E26" w:rsidP="00AB5E26">
      <w:pPr>
        <w:autoSpaceDE w:val="0"/>
        <w:autoSpaceDN w:val="0"/>
        <w:adjustRightInd w:val="0"/>
        <w:spacing w:after="0" w:line="240" w:lineRule="auto"/>
        <w:rPr>
          <w:rFonts w:cs="Arial"/>
        </w:rPr>
      </w:pPr>
      <w:r w:rsidRPr="009921BE">
        <w:rPr>
          <w:rFonts w:cs="Arial"/>
        </w:rPr>
        <w:t>Students demonstrate greater awareness,</w:t>
      </w:r>
    </w:p>
    <w:p w:rsidR="00AB5E26" w:rsidRPr="009921BE" w:rsidRDefault="00AB5E26" w:rsidP="00AB5E26">
      <w:pPr>
        <w:autoSpaceDE w:val="0"/>
        <w:autoSpaceDN w:val="0"/>
        <w:adjustRightInd w:val="0"/>
        <w:spacing w:after="0" w:line="240" w:lineRule="auto"/>
        <w:rPr>
          <w:rFonts w:cs="Arial"/>
        </w:rPr>
      </w:pPr>
      <w:r w:rsidRPr="009921BE">
        <w:rPr>
          <w:rFonts w:cs="Arial"/>
        </w:rPr>
        <w:t>understanding and tolerance as a result of the</w:t>
      </w:r>
    </w:p>
    <w:p w:rsidR="00AB5E26" w:rsidRPr="009921BE" w:rsidRDefault="00AB5E26" w:rsidP="00AB5E26">
      <w:pPr>
        <w:autoSpaceDE w:val="0"/>
        <w:autoSpaceDN w:val="0"/>
        <w:adjustRightInd w:val="0"/>
        <w:spacing w:after="0" w:line="240" w:lineRule="auto"/>
        <w:rPr>
          <w:rFonts w:cs="Arial"/>
        </w:rPr>
      </w:pPr>
      <w:r w:rsidRPr="009921BE">
        <w:rPr>
          <w:rFonts w:cs="Arial"/>
        </w:rPr>
        <w:t>School’s program in Aboriginal Education.</w:t>
      </w:r>
    </w:p>
    <w:p w:rsidR="00AB5E26" w:rsidRPr="009921BE" w:rsidRDefault="00AB5E26" w:rsidP="00AB5E26">
      <w:pPr>
        <w:autoSpaceDE w:val="0"/>
        <w:autoSpaceDN w:val="0"/>
        <w:adjustRightInd w:val="0"/>
        <w:spacing w:after="0" w:line="240" w:lineRule="auto"/>
        <w:rPr>
          <w:rFonts w:cs="Arial"/>
        </w:rPr>
      </w:pPr>
      <w:r w:rsidRPr="009921BE">
        <w:rPr>
          <w:rFonts w:cs="Arial"/>
        </w:rPr>
        <w:t>Students learn about Aboriginal Australia as a</w:t>
      </w:r>
    </w:p>
    <w:p w:rsidR="00AB5E26" w:rsidRPr="009921BE" w:rsidRDefault="00AB5E26" w:rsidP="00AB5E26">
      <w:pPr>
        <w:autoSpaceDE w:val="0"/>
        <w:autoSpaceDN w:val="0"/>
        <w:adjustRightInd w:val="0"/>
        <w:spacing w:after="0" w:line="240" w:lineRule="auto"/>
        <w:rPr>
          <w:rFonts w:cs="Arial"/>
        </w:rPr>
      </w:pPr>
      <w:r w:rsidRPr="009921BE">
        <w:rPr>
          <w:rFonts w:cs="Arial"/>
        </w:rPr>
        <w:t>perspective in teaching and learning units in Key</w:t>
      </w:r>
    </w:p>
    <w:p w:rsidR="00AB5E26" w:rsidRPr="009921BE" w:rsidRDefault="00AB5E26" w:rsidP="00AB5E26">
      <w:pPr>
        <w:autoSpaceDE w:val="0"/>
        <w:autoSpaceDN w:val="0"/>
        <w:adjustRightInd w:val="0"/>
        <w:spacing w:after="0" w:line="240" w:lineRule="auto"/>
        <w:rPr>
          <w:rFonts w:cs="Arial"/>
        </w:rPr>
      </w:pPr>
      <w:r w:rsidRPr="009921BE">
        <w:rPr>
          <w:rFonts w:cs="Arial"/>
        </w:rPr>
        <w:t>Learning Areas.</w:t>
      </w:r>
    </w:p>
    <w:p w:rsidR="009921BE" w:rsidRDefault="009921BE" w:rsidP="00AB5E26">
      <w:pPr>
        <w:autoSpaceDE w:val="0"/>
        <w:autoSpaceDN w:val="0"/>
        <w:adjustRightInd w:val="0"/>
        <w:spacing w:after="0" w:line="240" w:lineRule="auto"/>
        <w:rPr>
          <w:rFonts w:cs="Arial"/>
        </w:rPr>
      </w:pPr>
    </w:p>
    <w:p w:rsidR="00AB5E26" w:rsidRPr="009921BE" w:rsidRDefault="00AB5E26" w:rsidP="00AB5E26">
      <w:pPr>
        <w:autoSpaceDE w:val="0"/>
        <w:autoSpaceDN w:val="0"/>
        <w:adjustRightInd w:val="0"/>
        <w:spacing w:after="0" w:line="240" w:lineRule="auto"/>
        <w:rPr>
          <w:rFonts w:cs="Arial"/>
        </w:rPr>
      </w:pPr>
      <w:r w:rsidRPr="009921BE">
        <w:rPr>
          <w:rFonts w:cs="Arial"/>
        </w:rPr>
        <w:t>Teachers recognise that culturally appropriate</w:t>
      </w:r>
    </w:p>
    <w:p w:rsidR="00AB5E26" w:rsidRPr="009921BE" w:rsidRDefault="00AB5E26" w:rsidP="00AB5E26">
      <w:pPr>
        <w:autoSpaceDE w:val="0"/>
        <w:autoSpaceDN w:val="0"/>
        <w:adjustRightInd w:val="0"/>
        <w:spacing w:after="0" w:line="240" w:lineRule="auto"/>
        <w:rPr>
          <w:rFonts w:cs="Arial"/>
        </w:rPr>
      </w:pPr>
      <w:r w:rsidRPr="009921BE">
        <w:rPr>
          <w:rFonts w:cs="Arial"/>
        </w:rPr>
        <w:t>lessons in Aboriginal education respect Aboriginal</w:t>
      </w:r>
    </w:p>
    <w:p w:rsidR="00AB5E26" w:rsidRPr="009921BE" w:rsidRDefault="00AB5E26" w:rsidP="00AB5E26">
      <w:pPr>
        <w:autoSpaceDE w:val="0"/>
        <w:autoSpaceDN w:val="0"/>
        <w:adjustRightInd w:val="0"/>
        <w:spacing w:after="0" w:line="240" w:lineRule="auto"/>
        <w:rPr>
          <w:rFonts w:cs="Arial"/>
        </w:rPr>
      </w:pPr>
      <w:r w:rsidRPr="009921BE">
        <w:rPr>
          <w:rFonts w:cs="Arial"/>
        </w:rPr>
        <w:t>people, culture and traditions. They are working to</w:t>
      </w:r>
      <w:r w:rsidR="009921BE">
        <w:rPr>
          <w:rFonts w:cs="Arial"/>
        </w:rPr>
        <w:t xml:space="preserve"> </w:t>
      </w:r>
      <w:r w:rsidRPr="009921BE">
        <w:rPr>
          <w:rFonts w:cs="Arial"/>
        </w:rPr>
        <w:t>promote reconciliation and recognise Aboriginal</w:t>
      </w:r>
      <w:r w:rsidR="009921BE">
        <w:rPr>
          <w:rFonts w:cs="Arial"/>
        </w:rPr>
        <w:t xml:space="preserve"> </w:t>
      </w:r>
      <w:r w:rsidRPr="009921BE">
        <w:rPr>
          <w:rFonts w:cs="Arial"/>
        </w:rPr>
        <w:t>cultures and custodianship of country through</w:t>
      </w:r>
      <w:r w:rsidR="009921BE">
        <w:rPr>
          <w:rFonts w:cs="Arial"/>
        </w:rPr>
        <w:t xml:space="preserve"> </w:t>
      </w:r>
      <w:r w:rsidRPr="009921BE">
        <w:rPr>
          <w:rFonts w:cs="Arial"/>
        </w:rPr>
        <w:t>protocols such as Acknowledgement of Country at</w:t>
      </w:r>
      <w:r w:rsidR="009921BE">
        <w:rPr>
          <w:rFonts w:cs="Arial"/>
        </w:rPr>
        <w:t xml:space="preserve"> </w:t>
      </w:r>
      <w:r w:rsidRPr="009921BE">
        <w:rPr>
          <w:rFonts w:cs="Arial"/>
        </w:rPr>
        <w:t>meetings and assemblies.</w:t>
      </w:r>
    </w:p>
    <w:p w:rsidR="00AB5E26" w:rsidRPr="009921BE" w:rsidRDefault="00AB5E26" w:rsidP="00AB5E26">
      <w:pPr>
        <w:autoSpaceDE w:val="0"/>
        <w:autoSpaceDN w:val="0"/>
        <w:adjustRightInd w:val="0"/>
        <w:spacing w:after="0" w:line="240" w:lineRule="auto"/>
        <w:rPr>
          <w:rFonts w:cs="Arial"/>
        </w:rPr>
      </w:pPr>
      <w:r w:rsidRPr="009921BE">
        <w:rPr>
          <w:rFonts w:cs="Arial"/>
        </w:rPr>
        <w:t>Teaching programs are designed to integrate</w:t>
      </w:r>
    </w:p>
    <w:p w:rsidR="00AB5E26" w:rsidRPr="009921BE" w:rsidRDefault="00AB5E26" w:rsidP="00AB5E26">
      <w:pPr>
        <w:autoSpaceDE w:val="0"/>
        <w:autoSpaceDN w:val="0"/>
        <w:adjustRightInd w:val="0"/>
        <w:spacing w:after="0" w:line="240" w:lineRule="auto"/>
        <w:rPr>
          <w:rFonts w:cs="Arial"/>
        </w:rPr>
      </w:pPr>
      <w:r w:rsidRPr="009921BE">
        <w:rPr>
          <w:rFonts w:cs="Arial"/>
        </w:rPr>
        <w:t>Aboriginal education into units of work, particularly</w:t>
      </w:r>
      <w:r w:rsidR="009921BE">
        <w:rPr>
          <w:rFonts w:cs="Arial"/>
        </w:rPr>
        <w:t xml:space="preserve"> </w:t>
      </w:r>
      <w:r w:rsidRPr="009921BE">
        <w:rPr>
          <w:rFonts w:cs="Arial"/>
        </w:rPr>
        <w:t>in the Key Learning Area of Human Society and</w:t>
      </w:r>
      <w:r w:rsidR="009921BE">
        <w:rPr>
          <w:rFonts w:cs="Arial"/>
        </w:rPr>
        <w:t xml:space="preserve"> </w:t>
      </w:r>
      <w:r w:rsidRPr="009921BE">
        <w:rPr>
          <w:rFonts w:cs="Arial"/>
        </w:rPr>
        <w:t>its Environment.</w:t>
      </w:r>
    </w:p>
    <w:p w:rsidR="00AB5E26" w:rsidRPr="00F87176" w:rsidRDefault="00AB5E26" w:rsidP="00FD59D8">
      <w:pPr>
        <w:pStyle w:val="ASRHeading3"/>
        <w:outlineLvl w:val="2"/>
        <w:rPr>
          <w:rFonts w:asciiTheme="minorHAnsi" w:hAnsiTheme="minorHAnsi"/>
        </w:rPr>
      </w:pPr>
    </w:p>
    <w:p w:rsidR="00516D64" w:rsidRPr="00F87176" w:rsidRDefault="00516D64" w:rsidP="00FB554A">
      <w:pPr>
        <w:pStyle w:val="ASRHeading3"/>
        <w:jc w:val="center"/>
        <w:outlineLvl w:val="2"/>
        <w:rPr>
          <w:rFonts w:asciiTheme="minorHAnsi" w:hAnsiTheme="minorHAnsi"/>
        </w:rPr>
      </w:pPr>
      <w:bookmarkStart w:id="32" w:name="_Toc306703603"/>
      <w:bookmarkStart w:id="33" w:name="_Toc210703667"/>
      <w:bookmarkStart w:id="34" w:name="_Toc210703401"/>
      <w:bookmarkStart w:id="35" w:name="_Toc210703320"/>
      <w:bookmarkEnd w:id="31"/>
      <w:r w:rsidRPr="00F87176">
        <w:rPr>
          <w:rFonts w:asciiTheme="minorHAnsi" w:hAnsiTheme="minorHAnsi"/>
        </w:rPr>
        <w:t>Music</w:t>
      </w:r>
    </w:p>
    <w:p w:rsidR="0063141E" w:rsidRPr="00F87176" w:rsidRDefault="0063141E" w:rsidP="0063141E">
      <w:r w:rsidRPr="00F87176">
        <w:t>In 2011 Blackheath Public School continued to place great importance on music education. Through weekly class lessons and a number of performing group</w:t>
      </w:r>
      <w:r w:rsidR="000A67A1">
        <w:t>s</w:t>
      </w:r>
      <w:r w:rsidRPr="00F87176">
        <w:t>, students at Blackheath have had many opportunities to develop their musical abilities.</w:t>
      </w:r>
    </w:p>
    <w:p w:rsidR="0063141E" w:rsidRPr="00F87176" w:rsidRDefault="0063141E" w:rsidP="00FB554A">
      <w:pPr>
        <w:jc w:val="center"/>
        <w:rPr>
          <w:b/>
        </w:rPr>
      </w:pPr>
      <w:r w:rsidRPr="00F87176">
        <w:rPr>
          <w:b/>
        </w:rPr>
        <w:t>Class Music</w:t>
      </w:r>
    </w:p>
    <w:p w:rsidR="0063141E" w:rsidRPr="00F87176" w:rsidRDefault="0063141E" w:rsidP="0063141E">
      <w:r w:rsidRPr="00F87176">
        <w:t xml:space="preserve">Each class has continued to receive a weekly one hour music class with a specialist music teacher. This year we introduced class recorder tuition for all Year 1 and 2 classes, with the aim of introducing recorder to all students when they </w:t>
      </w:r>
      <w:r w:rsidRPr="00F87176">
        <w:lastRenderedPageBreak/>
        <w:t>enter Year 1, then following on until they reach Year 6.</w:t>
      </w:r>
    </w:p>
    <w:p w:rsidR="0063141E" w:rsidRPr="00F87176" w:rsidRDefault="0063141E" w:rsidP="0063141E">
      <w:r w:rsidRPr="00F87176">
        <w:t>During weekly music lessons each class also prepared for performances by visiting music ensembles. ‘Drumbeats’, an African music duo, and ‘The Sousaphonics’, an eclectic jazz band, entertained and informed our students  with performances in the school hall.</w:t>
      </w:r>
    </w:p>
    <w:p w:rsidR="0063141E" w:rsidRPr="00F87176" w:rsidRDefault="0063141E" w:rsidP="0063141E">
      <w:r w:rsidRPr="00F87176">
        <w:t>Our school participated again in the nationwide ‘Music –Count Us In’ program. Designed to increase access to music education for school aged students, the program culminated in the simultaneous performance of an original song written by selected high school students.</w:t>
      </w:r>
    </w:p>
    <w:p w:rsidR="0016205F" w:rsidRDefault="0016205F" w:rsidP="00FB554A">
      <w:pPr>
        <w:jc w:val="center"/>
        <w:rPr>
          <w:b/>
        </w:rPr>
      </w:pPr>
    </w:p>
    <w:p w:rsidR="0016205F" w:rsidRDefault="00317499" w:rsidP="00C24C7C">
      <w:pPr>
        <w:jc w:val="center"/>
        <w:rPr>
          <w:b/>
        </w:rPr>
      </w:pPr>
      <w:r>
        <w:rPr>
          <w:b/>
          <w:noProof/>
          <w:lang w:val="en-AU" w:eastAsia="en-AU" w:bidi="ar-SA"/>
        </w:rPr>
        <w:drawing>
          <wp:inline distT="0" distB="0" distL="0" distR="0">
            <wp:extent cx="2835275" cy="1886187"/>
            <wp:effectExtent l="19050" t="0" r="3175" b="0"/>
            <wp:docPr id="22" name="Picture 9" descr="C:\Documents and Settings\Staffuser\Desktop\Promotions\DSC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affuser\Desktop\Promotions\DSC_4393.jpg"/>
                    <pic:cNvPicPr>
                      <a:picLocks noChangeAspect="1" noChangeArrowheads="1"/>
                    </pic:cNvPicPr>
                  </pic:nvPicPr>
                  <pic:blipFill>
                    <a:blip r:embed="rId31" cstate="print"/>
                    <a:srcRect/>
                    <a:stretch>
                      <a:fillRect/>
                    </a:stretch>
                  </pic:blipFill>
                  <pic:spPr bwMode="auto">
                    <a:xfrm>
                      <a:off x="0" y="0"/>
                      <a:ext cx="2835275" cy="1886187"/>
                    </a:xfrm>
                    <a:prstGeom prst="rect">
                      <a:avLst/>
                    </a:prstGeom>
                    <a:noFill/>
                    <a:ln w="9525">
                      <a:noFill/>
                      <a:miter lim="800000"/>
                      <a:headEnd/>
                      <a:tailEnd/>
                    </a:ln>
                  </pic:spPr>
                </pic:pic>
              </a:graphicData>
            </a:graphic>
          </wp:inline>
        </w:drawing>
      </w:r>
    </w:p>
    <w:p w:rsidR="0063141E" w:rsidRPr="00F87176" w:rsidRDefault="0063141E" w:rsidP="00FB554A">
      <w:pPr>
        <w:jc w:val="center"/>
        <w:rPr>
          <w:b/>
        </w:rPr>
      </w:pPr>
      <w:r w:rsidRPr="00F87176">
        <w:rPr>
          <w:b/>
        </w:rPr>
        <w:t>Choirs</w:t>
      </w:r>
    </w:p>
    <w:p w:rsidR="0063141E" w:rsidRPr="00F87176" w:rsidRDefault="0063141E" w:rsidP="0063141E">
      <w:r w:rsidRPr="00F87176">
        <w:t>Blackheath Public School choirs participated in two music festivals in 2011. The Junior Choir (Years 2 and 3) joined with other Upper Mountains school choirs to perform in the ‘Upper Blue Mountains Music Festival’, held at Katoomba Public School. The Senior Choir (Years 4-6) performed at the ‘Schools Spectacular’, held at the Sydney Entertainment Centre, as part of the Combined Primary Choir.</w:t>
      </w:r>
    </w:p>
    <w:p w:rsidR="0063141E" w:rsidRPr="00F87176" w:rsidRDefault="0063141E" w:rsidP="00FB554A">
      <w:pPr>
        <w:jc w:val="center"/>
        <w:rPr>
          <w:b/>
        </w:rPr>
      </w:pPr>
      <w:r w:rsidRPr="00F87176">
        <w:rPr>
          <w:b/>
        </w:rPr>
        <w:t>Instruments</w:t>
      </w:r>
    </w:p>
    <w:p w:rsidR="0063141E" w:rsidRPr="00F87176" w:rsidRDefault="0063141E" w:rsidP="0063141E">
      <w:r w:rsidRPr="00F87176">
        <w:t xml:space="preserve">BPS students have had the opportunity to access after school instrument lessons with visiting tutors. Teachers of guitar, percussion and wind instruments have contributed to the success of the school band program, which is open to </w:t>
      </w:r>
      <w:r w:rsidRPr="00F87176">
        <w:lastRenderedPageBreak/>
        <w:t>children in Years 3-6. Members of the school band have performed at school events and the Katoomba ‘Winter Magic Festival’.</w:t>
      </w:r>
    </w:p>
    <w:p w:rsidR="0063141E" w:rsidRPr="00F87176" w:rsidRDefault="0063141E" w:rsidP="0063141E">
      <w:r w:rsidRPr="00F87176">
        <w:t>The school violin group continued its association with the ‘Primary Schools Instrumental Festival’, held at the Sydney Opera House. Co-ordinated by a visiting tutor, this group had the wonderful experience of playing in the 300 strong ‘Primary Schools String Ensemble’ on the stage of the Opera House Concert Hall.</w:t>
      </w:r>
    </w:p>
    <w:p w:rsidR="0063141E" w:rsidRPr="00F87176" w:rsidRDefault="0063141E" w:rsidP="0063141E">
      <w:r w:rsidRPr="00F87176">
        <w:t>The two school percussion groups have continued to learn and perform a range of West African inspired compositions. Performing at school events, these two groups have attracted a range of students with varied musical backgrounds, who practice weekly during school lunch times.</w:t>
      </w:r>
    </w:p>
    <w:p w:rsidR="00AB5E26" w:rsidRDefault="00AB5E26" w:rsidP="00AB5E26">
      <w:pPr>
        <w:pStyle w:val="ASRHeading3"/>
        <w:ind w:left="332"/>
        <w:jc w:val="center"/>
        <w:rPr>
          <w:rFonts w:asciiTheme="minorHAnsi" w:hAnsiTheme="minorHAnsi"/>
        </w:rPr>
      </w:pPr>
      <w:r w:rsidRPr="00F87176">
        <w:rPr>
          <w:rFonts w:asciiTheme="minorHAnsi" w:hAnsiTheme="minorHAnsi"/>
        </w:rPr>
        <w:t>Premier’s Reading Challenge</w:t>
      </w:r>
    </w:p>
    <w:p w:rsidR="00AB5E26" w:rsidRPr="009921BE" w:rsidRDefault="00AE58CF" w:rsidP="00AE58CF">
      <w:pPr>
        <w:pStyle w:val="ASRListBullet"/>
        <w:numPr>
          <w:ilvl w:val="0"/>
          <w:numId w:val="0"/>
        </w:numPr>
        <w:ind w:hanging="360"/>
      </w:pPr>
      <w:r>
        <w:t xml:space="preserve">       </w:t>
      </w:r>
      <w:r w:rsidR="008B1BAA">
        <w:t xml:space="preserve"> 7</w:t>
      </w:r>
      <w:r w:rsidR="00AB5E26" w:rsidRPr="009921BE">
        <w:t>4 child</w:t>
      </w:r>
      <w:r>
        <w:t xml:space="preserve">ren at Blackheath Public School successfully completed the </w:t>
      </w:r>
      <w:r w:rsidR="00AB5E26" w:rsidRPr="009921BE">
        <w:t>Premier’s Reading Challenge. Ms. Forbes-McKinnon, our Teacher Librarian, was instrumental in organising the documentation, books and managing the challenge at our school.</w:t>
      </w:r>
    </w:p>
    <w:p w:rsidR="00AB5E26" w:rsidRPr="009921BE" w:rsidRDefault="00AB5E26" w:rsidP="00AE58CF">
      <w:pPr>
        <w:pStyle w:val="ASRBodyText"/>
        <w:rPr>
          <w:rFonts w:cs="Arial"/>
        </w:rPr>
      </w:pPr>
      <w:r w:rsidRPr="009921BE">
        <w:rPr>
          <w:rFonts w:cs="Arial"/>
        </w:rPr>
        <w:t>This achievement was recognised in the Sydney media where every child’s n</w:t>
      </w:r>
      <w:r w:rsidR="00AE58CF">
        <w:rPr>
          <w:rFonts w:cs="Arial"/>
        </w:rPr>
        <w:t xml:space="preserve">ame was published in the Honour </w:t>
      </w:r>
      <w:r w:rsidRPr="009921BE">
        <w:rPr>
          <w:rFonts w:cs="Arial"/>
        </w:rPr>
        <w:t>Roll. A certificate of achievement was awarded to all students for their participation in the Challenge. This is an excellent achievement for Blackheath Public School and demonstrates the school’s commitment to the teaching of literacy.</w:t>
      </w:r>
    </w:p>
    <w:p w:rsidR="00AB5E26" w:rsidRPr="00F87176" w:rsidRDefault="00AB5E26" w:rsidP="00AB5E26">
      <w:pPr>
        <w:pStyle w:val="ListParagraph"/>
        <w:autoSpaceDE w:val="0"/>
        <w:autoSpaceDN w:val="0"/>
        <w:adjustRightInd w:val="0"/>
        <w:spacing w:after="0" w:line="240" w:lineRule="auto"/>
        <w:ind w:left="332"/>
        <w:rPr>
          <w:rFonts w:cs="Arial"/>
          <w:b/>
          <w:bCs/>
        </w:rPr>
      </w:pPr>
    </w:p>
    <w:p w:rsidR="00AB5E26" w:rsidRPr="00F87176" w:rsidRDefault="00AB5E26" w:rsidP="00AB5E26">
      <w:pPr>
        <w:pStyle w:val="ListParagraph"/>
        <w:autoSpaceDE w:val="0"/>
        <w:autoSpaceDN w:val="0"/>
        <w:adjustRightInd w:val="0"/>
        <w:spacing w:after="0" w:line="240" w:lineRule="auto"/>
        <w:ind w:left="332"/>
        <w:jc w:val="center"/>
        <w:rPr>
          <w:rFonts w:cs="Arial"/>
          <w:b/>
          <w:bCs/>
        </w:rPr>
      </w:pPr>
      <w:r w:rsidRPr="00F87176">
        <w:rPr>
          <w:rFonts w:cs="Arial"/>
          <w:b/>
          <w:bCs/>
        </w:rPr>
        <w:t>Student Leadership</w:t>
      </w:r>
    </w:p>
    <w:p w:rsidR="00AB5E26" w:rsidRPr="00F87176" w:rsidRDefault="00AB5E26" w:rsidP="00AB5E26">
      <w:pPr>
        <w:pStyle w:val="ListParagraph"/>
        <w:autoSpaceDE w:val="0"/>
        <w:autoSpaceDN w:val="0"/>
        <w:adjustRightInd w:val="0"/>
        <w:spacing w:after="0" w:line="240" w:lineRule="auto"/>
        <w:ind w:left="332"/>
        <w:rPr>
          <w:rFonts w:cs="Arial"/>
        </w:rPr>
      </w:pPr>
    </w:p>
    <w:p w:rsidR="00AB5E26" w:rsidRPr="009921BE" w:rsidRDefault="00AB5E26" w:rsidP="00AE58CF">
      <w:pPr>
        <w:pStyle w:val="ListParagraph"/>
        <w:autoSpaceDE w:val="0"/>
        <w:autoSpaceDN w:val="0"/>
        <w:adjustRightInd w:val="0"/>
        <w:spacing w:after="0" w:line="240" w:lineRule="auto"/>
        <w:ind w:left="0"/>
        <w:rPr>
          <w:rFonts w:cs="Arial"/>
        </w:rPr>
      </w:pPr>
      <w:r w:rsidRPr="009921BE">
        <w:rPr>
          <w:rFonts w:cs="Arial"/>
        </w:rPr>
        <w:t>In addition to the formal leadership roles at</w:t>
      </w:r>
    </w:p>
    <w:p w:rsidR="00AB5E26" w:rsidRPr="009921BE" w:rsidRDefault="00AB5E26" w:rsidP="00AE58CF">
      <w:pPr>
        <w:pStyle w:val="ListParagraph"/>
        <w:autoSpaceDE w:val="0"/>
        <w:autoSpaceDN w:val="0"/>
        <w:adjustRightInd w:val="0"/>
        <w:spacing w:after="0" w:line="240" w:lineRule="auto"/>
        <w:ind w:left="0"/>
        <w:rPr>
          <w:rFonts w:cs="Arial"/>
        </w:rPr>
      </w:pPr>
      <w:r w:rsidRPr="009921BE">
        <w:rPr>
          <w:rFonts w:cs="Arial"/>
        </w:rPr>
        <w:t>Blackheath PS, all students in Year 5 and 6 were given the opportunity to participate in a leadership role, in line with the school’s Peer Support Program. The students took on the responsibility, in small teams, to work with all of the students in the school, once a week, for 10 school weeks. The Peer Support Program lessons underpinned the school’s core values of respect, responsibility and safety.</w:t>
      </w:r>
    </w:p>
    <w:p w:rsidR="00AB5E26" w:rsidRPr="009921BE" w:rsidRDefault="00AB5E26" w:rsidP="00AE58CF">
      <w:pPr>
        <w:pStyle w:val="ListParagraph"/>
        <w:autoSpaceDE w:val="0"/>
        <w:autoSpaceDN w:val="0"/>
        <w:adjustRightInd w:val="0"/>
        <w:spacing w:after="0" w:line="240" w:lineRule="auto"/>
        <w:ind w:left="0"/>
        <w:rPr>
          <w:rFonts w:cs="Arial"/>
        </w:rPr>
      </w:pPr>
      <w:r w:rsidRPr="009921BE">
        <w:rPr>
          <w:rFonts w:cs="Arial"/>
        </w:rPr>
        <w:t xml:space="preserve">The student leadership team for 2010 consisted of 2 captains, 2 vice captains and 4 prefects. </w:t>
      </w:r>
      <w:r w:rsidR="009921BE">
        <w:rPr>
          <w:rFonts w:cs="Arial"/>
        </w:rPr>
        <w:t xml:space="preserve"> </w:t>
      </w:r>
      <w:r w:rsidRPr="009921BE">
        <w:rPr>
          <w:rFonts w:cs="Arial"/>
        </w:rPr>
        <w:lastRenderedPageBreak/>
        <w:t>There were also 8 house captains and a further 8</w:t>
      </w:r>
      <w:r w:rsidR="009921BE">
        <w:rPr>
          <w:rFonts w:cs="Arial"/>
        </w:rPr>
        <w:t xml:space="preserve"> </w:t>
      </w:r>
      <w:r w:rsidRPr="009921BE">
        <w:rPr>
          <w:rFonts w:cs="Arial"/>
        </w:rPr>
        <w:t>House vice captain positions filled to give a full</w:t>
      </w:r>
      <w:r w:rsidR="009921BE">
        <w:rPr>
          <w:rFonts w:cs="Arial"/>
        </w:rPr>
        <w:t xml:space="preserve"> </w:t>
      </w:r>
      <w:r w:rsidR="00A60790" w:rsidRPr="009921BE">
        <w:rPr>
          <w:rFonts w:cs="Arial"/>
        </w:rPr>
        <w:t>complement</w:t>
      </w:r>
      <w:r w:rsidRPr="009921BE">
        <w:rPr>
          <w:rFonts w:cs="Arial"/>
        </w:rPr>
        <w:t xml:space="preserve"> of 24 formal whole school leadership</w:t>
      </w:r>
      <w:r w:rsidR="009921BE">
        <w:rPr>
          <w:rFonts w:cs="Arial"/>
        </w:rPr>
        <w:t xml:space="preserve"> </w:t>
      </w:r>
      <w:r w:rsidRPr="009921BE">
        <w:rPr>
          <w:rFonts w:cs="Arial"/>
        </w:rPr>
        <w:t>positions. Once again, and as expected, all</w:t>
      </w:r>
      <w:r w:rsidR="009921BE">
        <w:rPr>
          <w:rFonts w:cs="Arial"/>
        </w:rPr>
        <w:t xml:space="preserve"> </w:t>
      </w:r>
      <w:r w:rsidRPr="009921BE">
        <w:rPr>
          <w:rFonts w:cs="Arial"/>
        </w:rPr>
        <w:t>school leaders lead by example and assisted the</w:t>
      </w:r>
      <w:r w:rsidR="009921BE">
        <w:rPr>
          <w:rFonts w:cs="Arial"/>
        </w:rPr>
        <w:t xml:space="preserve"> </w:t>
      </w:r>
      <w:r w:rsidRPr="009921BE">
        <w:rPr>
          <w:rFonts w:cs="Arial"/>
        </w:rPr>
        <w:t>staff, parents and the community.</w:t>
      </w:r>
    </w:p>
    <w:p w:rsidR="00317499" w:rsidRDefault="00317499" w:rsidP="00605B82">
      <w:pPr>
        <w:pStyle w:val="ASRHeading2"/>
        <w:outlineLvl w:val="1"/>
      </w:pPr>
      <w:bookmarkStart w:id="36" w:name="_Toc306703604"/>
      <w:bookmarkEnd w:id="32"/>
    </w:p>
    <w:p w:rsidR="00CA7AB6" w:rsidRDefault="00CA7AB6" w:rsidP="00605B82">
      <w:pPr>
        <w:pStyle w:val="ASRHeading2"/>
        <w:outlineLvl w:val="1"/>
      </w:pPr>
      <w:r>
        <w:rPr>
          <w:noProof/>
          <w:lang w:val="en-AU" w:eastAsia="en-AU" w:bidi="ar-SA"/>
        </w:rPr>
        <w:drawing>
          <wp:inline distT="0" distB="0" distL="0" distR="0">
            <wp:extent cx="2835275" cy="1886020"/>
            <wp:effectExtent l="19050" t="0" r="3175" b="0"/>
            <wp:docPr id="25" name="Picture 5" descr="C:\Documents and Settings\Staffuser\Desktop\Promotions\DSC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taffuser\Desktop\Promotions\DSC_6687.jpg"/>
                    <pic:cNvPicPr>
                      <a:picLocks noChangeAspect="1" noChangeArrowheads="1"/>
                    </pic:cNvPicPr>
                  </pic:nvPicPr>
                  <pic:blipFill>
                    <a:blip r:embed="rId32" cstate="print"/>
                    <a:srcRect/>
                    <a:stretch>
                      <a:fillRect/>
                    </a:stretch>
                  </pic:blipFill>
                  <pic:spPr bwMode="auto">
                    <a:xfrm>
                      <a:off x="0" y="0"/>
                      <a:ext cx="2835275" cy="1886020"/>
                    </a:xfrm>
                    <a:prstGeom prst="rect">
                      <a:avLst/>
                    </a:prstGeom>
                    <a:noFill/>
                    <a:ln w="9525">
                      <a:noFill/>
                      <a:miter lim="800000"/>
                      <a:headEnd/>
                      <a:tailEnd/>
                    </a:ln>
                  </pic:spPr>
                </pic:pic>
              </a:graphicData>
            </a:graphic>
          </wp:inline>
        </w:drawing>
      </w:r>
    </w:p>
    <w:p w:rsidR="00CA7AB6" w:rsidRDefault="00CA7AB6" w:rsidP="00605B82">
      <w:pPr>
        <w:pStyle w:val="ASRHeading2"/>
        <w:outlineLvl w:val="1"/>
      </w:pPr>
    </w:p>
    <w:p w:rsidR="009974E3" w:rsidRPr="00F87176" w:rsidRDefault="009974E3" w:rsidP="00605B82">
      <w:pPr>
        <w:pStyle w:val="ASRHeading2"/>
        <w:outlineLvl w:val="1"/>
      </w:pPr>
      <w:r w:rsidRPr="00F87176">
        <w:t>Progress on 2011 targets</w:t>
      </w:r>
      <w:bookmarkEnd w:id="33"/>
      <w:bookmarkEnd w:id="34"/>
      <w:bookmarkEnd w:id="35"/>
      <w:bookmarkEnd w:id="36"/>
    </w:p>
    <w:p w:rsidR="009974E3" w:rsidRPr="00F87176" w:rsidRDefault="009974E3" w:rsidP="00FD59D8">
      <w:pPr>
        <w:pStyle w:val="ASRHeading3"/>
        <w:outlineLvl w:val="2"/>
        <w:rPr>
          <w:rFonts w:asciiTheme="minorHAnsi" w:hAnsiTheme="minorHAnsi"/>
        </w:rPr>
      </w:pPr>
      <w:bookmarkStart w:id="37" w:name="_Toc306703605"/>
      <w:r w:rsidRPr="00F87176">
        <w:rPr>
          <w:rFonts w:asciiTheme="minorHAnsi" w:hAnsiTheme="minorHAnsi"/>
        </w:rPr>
        <w:t>Target 1</w:t>
      </w:r>
      <w:bookmarkEnd w:id="37"/>
    </w:p>
    <w:p w:rsidR="00AB5E26" w:rsidRPr="00F87176" w:rsidRDefault="00AB5E26" w:rsidP="00AB5E26">
      <w:pPr>
        <w:pStyle w:val="ASRHeading3"/>
        <w:rPr>
          <w:rFonts w:asciiTheme="minorHAnsi" w:hAnsiTheme="minorHAnsi"/>
        </w:rPr>
      </w:pPr>
      <w:r w:rsidRPr="00F87176">
        <w:rPr>
          <w:rFonts w:asciiTheme="minorHAnsi" w:hAnsiTheme="minorHAnsi"/>
        </w:rPr>
        <w:t>Literacy</w:t>
      </w:r>
    </w:p>
    <w:p w:rsidR="00AB5E26" w:rsidRPr="00F87176" w:rsidRDefault="00AB5E26" w:rsidP="00AB5E26">
      <w:pPr>
        <w:pStyle w:val="Targets"/>
        <w:rPr>
          <w:rStyle w:val="ASRBodyTextChar"/>
          <w:rFonts w:cs="Arial"/>
          <w:b w:val="0"/>
          <w:i w:val="0"/>
        </w:rPr>
      </w:pPr>
      <w:r w:rsidRPr="00F87176">
        <w:rPr>
          <w:rStyle w:val="ASRBodyTextChar"/>
          <w:rFonts w:cs="Arial"/>
          <w:b w:val="0"/>
          <w:i w:val="0"/>
        </w:rPr>
        <w:t xml:space="preserve">98% students in year 3 performing at or above minimum standards in reading </w:t>
      </w:r>
    </w:p>
    <w:p w:rsidR="00AB5E26" w:rsidRPr="00F87176" w:rsidRDefault="00AB5E26" w:rsidP="00AB5E26">
      <w:pPr>
        <w:pStyle w:val="Targets"/>
        <w:rPr>
          <w:rStyle w:val="ASRBodyTextChar"/>
          <w:rFonts w:cs="Arial"/>
          <w:b w:val="0"/>
          <w:i w:val="0"/>
        </w:rPr>
      </w:pPr>
      <w:r w:rsidRPr="00F87176">
        <w:rPr>
          <w:rStyle w:val="ASRBodyTextChar"/>
          <w:rFonts w:cs="Arial"/>
          <w:b w:val="0"/>
          <w:i w:val="0"/>
        </w:rPr>
        <w:t>49% of students in year 3 achieving in the proficient range in reading</w:t>
      </w:r>
    </w:p>
    <w:p w:rsidR="00AB5E26" w:rsidRPr="00F87176" w:rsidRDefault="00AB5E26" w:rsidP="00AB5E26">
      <w:pPr>
        <w:pStyle w:val="Targets"/>
        <w:rPr>
          <w:rStyle w:val="ASRBodyTextChar"/>
          <w:rFonts w:cs="Arial"/>
          <w:b w:val="0"/>
          <w:i w:val="0"/>
        </w:rPr>
      </w:pPr>
      <w:r w:rsidRPr="00F87176">
        <w:rPr>
          <w:rStyle w:val="ASRBodyTextChar"/>
          <w:rFonts w:cs="Arial"/>
          <w:b w:val="0"/>
          <w:i w:val="0"/>
        </w:rPr>
        <w:t xml:space="preserve">98% students in year 3 performing at or above minimum standards in writing </w:t>
      </w:r>
    </w:p>
    <w:p w:rsidR="00AB5E26" w:rsidRPr="00F87176" w:rsidRDefault="00AB5E26" w:rsidP="00AB5E26">
      <w:pPr>
        <w:pStyle w:val="Targets"/>
        <w:rPr>
          <w:rStyle w:val="ASRBodyTextChar"/>
          <w:rFonts w:cs="Arial"/>
          <w:b w:val="0"/>
          <w:i w:val="0"/>
        </w:rPr>
      </w:pPr>
      <w:r w:rsidRPr="00F87176">
        <w:rPr>
          <w:rStyle w:val="ASRBodyTextChar"/>
          <w:rFonts w:cs="Arial"/>
          <w:b w:val="0"/>
          <w:i w:val="0"/>
        </w:rPr>
        <w:t>50% of students in year 3 achieving in the proficient range in writing</w:t>
      </w:r>
    </w:p>
    <w:p w:rsidR="00AB5E26" w:rsidRPr="00F87176" w:rsidRDefault="00AB5E26" w:rsidP="00AB5E26">
      <w:pPr>
        <w:pStyle w:val="Targets"/>
        <w:rPr>
          <w:rStyle w:val="ASRBodyTextChar"/>
          <w:rFonts w:cs="Arial"/>
          <w:b w:val="0"/>
          <w:i w:val="0"/>
        </w:rPr>
      </w:pPr>
    </w:p>
    <w:p w:rsidR="00AB5E26" w:rsidRPr="00F87176" w:rsidRDefault="00AB5E26" w:rsidP="00AB5E26">
      <w:pPr>
        <w:pStyle w:val="Targets"/>
        <w:rPr>
          <w:rStyle w:val="ASRBodyTextChar"/>
          <w:rFonts w:cs="Arial"/>
          <w:b w:val="0"/>
          <w:i w:val="0"/>
        </w:rPr>
      </w:pPr>
      <w:r w:rsidRPr="00F87176">
        <w:rPr>
          <w:rStyle w:val="ASRBodyTextChar"/>
          <w:rFonts w:cs="Arial"/>
          <w:b w:val="0"/>
          <w:i w:val="0"/>
        </w:rPr>
        <w:t xml:space="preserve">95% students in year 5 performing at or above minimum standards in reading </w:t>
      </w:r>
    </w:p>
    <w:p w:rsidR="00AB5E26" w:rsidRPr="00F87176" w:rsidRDefault="00AB5E26" w:rsidP="00AB5E26">
      <w:pPr>
        <w:pStyle w:val="Targets"/>
        <w:rPr>
          <w:rStyle w:val="ASRBodyTextChar"/>
          <w:rFonts w:cs="Arial"/>
          <w:b w:val="0"/>
          <w:i w:val="0"/>
        </w:rPr>
      </w:pPr>
      <w:r w:rsidRPr="00F87176">
        <w:rPr>
          <w:rStyle w:val="ASRBodyTextChar"/>
          <w:rFonts w:cs="Arial"/>
          <w:b w:val="0"/>
          <w:i w:val="0"/>
        </w:rPr>
        <w:t>50% of students in year 5 achieving in the proficient range in reading</w:t>
      </w:r>
    </w:p>
    <w:p w:rsidR="00AB5E26" w:rsidRPr="00F87176" w:rsidRDefault="00AB5E26" w:rsidP="00AB5E26">
      <w:pPr>
        <w:pStyle w:val="Targets"/>
        <w:rPr>
          <w:rStyle w:val="ASRBodyTextChar"/>
          <w:rFonts w:cs="Arial"/>
          <w:b w:val="0"/>
          <w:i w:val="0"/>
        </w:rPr>
      </w:pPr>
      <w:r w:rsidRPr="00F87176">
        <w:rPr>
          <w:rStyle w:val="ASRBodyTextChar"/>
          <w:rFonts w:cs="Arial"/>
          <w:b w:val="0"/>
          <w:i w:val="0"/>
        </w:rPr>
        <w:t xml:space="preserve">96% students in year 5 performing at or above minimum standards in reading </w:t>
      </w:r>
    </w:p>
    <w:p w:rsidR="00AB5E26" w:rsidRPr="00F87176" w:rsidRDefault="00AB5E26" w:rsidP="00AB5E26">
      <w:pPr>
        <w:pStyle w:val="Targets"/>
        <w:rPr>
          <w:rStyle w:val="ASRBodyTextChar"/>
          <w:rFonts w:cs="Arial"/>
          <w:b w:val="0"/>
          <w:i w:val="0"/>
        </w:rPr>
      </w:pPr>
      <w:r w:rsidRPr="00F87176">
        <w:rPr>
          <w:rStyle w:val="ASRBodyTextChar"/>
          <w:rFonts w:cs="Arial"/>
          <w:b w:val="0"/>
          <w:i w:val="0"/>
        </w:rPr>
        <w:t>36% of students in year 5 achieving in the proficient range in reading</w:t>
      </w:r>
    </w:p>
    <w:p w:rsidR="009974E3" w:rsidRPr="00F87176" w:rsidRDefault="009974E3" w:rsidP="00F66758">
      <w:pPr>
        <w:pStyle w:val="ASRBodyText"/>
      </w:pPr>
      <w:r w:rsidRPr="00F87176">
        <w:t>Our achievements include:</w:t>
      </w:r>
    </w:p>
    <w:p w:rsidR="00F87176" w:rsidRPr="00F87176" w:rsidRDefault="00F87176" w:rsidP="00F87176">
      <w:pPr>
        <w:pStyle w:val="Targets"/>
        <w:numPr>
          <w:ilvl w:val="0"/>
          <w:numId w:val="20"/>
        </w:numPr>
        <w:rPr>
          <w:rStyle w:val="ASRBodyTextChar"/>
          <w:rFonts w:cs="Arial"/>
          <w:b w:val="0"/>
          <w:i w:val="0"/>
        </w:rPr>
      </w:pPr>
      <w:r w:rsidRPr="00F87176">
        <w:rPr>
          <w:rStyle w:val="ASRBodyTextChar"/>
          <w:rFonts w:cs="Arial"/>
          <w:b w:val="0"/>
          <w:i w:val="0"/>
        </w:rPr>
        <w:t xml:space="preserve">Continued emphasis on staff training and development in the teaching of writing with </w:t>
      </w:r>
      <w:r w:rsidRPr="00F87176">
        <w:rPr>
          <w:rStyle w:val="ASRBodyTextChar"/>
          <w:rFonts w:cs="Arial"/>
          <w:b w:val="0"/>
          <w:i w:val="0"/>
        </w:rPr>
        <w:lastRenderedPageBreak/>
        <w:t>particular focus on grammar and sentence structure</w:t>
      </w:r>
    </w:p>
    <w:p w:rsidR="00F87176" w:rsidRPr="00F87176" w:rsidRDefault="00F87176" w:rsidP="00F87176">
      <w:pPr>
        <w:pStyle w:val="Targets"/>
        <w:numPr>
          <w:ilvl w:val="0"/>
          <w:numId w:val="20"/>
        </w:numPr>
        <w:rPr>
          <w:rStyle w:val="ASRBodyTextChar"/>
          <w:rFonts w:cs="Arial"/>
          <w:b w:val="0"/>
          <w:i w:val="0"/>
        </w:rPr>
      </w:pPr>
      <w:r w:rsidRPr="00F87176">
        <w:rPr>
          <w:rStyle w:val="ASRBodyTextChar"/>
          <w:rFonts w:cs="Arial"/>
          <w:b w:val="0"/>
          <w:i w:val="0"/>
        </w:rPr>
        <w:t>Models of excellence devised in writing samples</w:t>
      </w:r>
    </w:p>
    <w:p w:rsidR="00F87176" w:rsidRPr="00F87176" w:rsidRDefault="00F87176" w:rsidP="00F87176">
      <w:pPr>
        <w:pStyle w:val="Targets"/>
        <w:numPr>
          <w:ilvl w:val="0"/>
          <w:numId w:val="20"/>
        </w:numPr>
        <w:rPr>
          <w:rStyle w:val="ASRBodyTextChar"/>
          <w:rFonts w:cs="Arial"/>
          <w:b w:val="0"/>
          <w:i w:val="0"/>
        </w:rPr>
      </w:pPr>
      <w:r w:rsidRPr="00F87176">
        <w:rPr>
          <w:rStyle w:val="ASRBodyTextChar"/>
          <w:rFonts w:cs="Arial"/>
          <w:b w:val="0"/>
          <w:i w:val="0"/>
        </w:rPr>
        <w:t>Training in the K-6 Scope and Sequence for Grammar from the English syllabus</w:t>
      </w:r>
    </w:p>
    <w:p w:rsidR="00F87176" w:rsidRPr="00F87176" w:rsidRDefault="00F87176" w:rsidP="00F87176">
      <w:pPr>
        <w:pStyle w:val="Targets"/>
        <w:numPr>
          <w:ilvl w:val="0"/>
          <w:numId w:val="20"/>
        </w:numPr>
        <w:rPr>
          <w:rStyle w:val="ASRBodyTextChar"/>
          <w:rFonts w:cs="Arial"/>
        </w:rPr>
      </w:pPr>
      <w:r w:rsidRPr="00F87176">
        <w:rPr>
          <w:rStyle w:val="ASRBodyTextChar"/>
          <w:rFonts w:cs="Arial"/>
          <w:b w:val="0"/>
          <w:i w:val="0"/>
        </w:rPr>
        <w:t>Improved complexity in sentence structure throughout all writing samples K-6</w:t>
      </w:r>
    </w:p>
    <w:p w:rsidR="00F87176" w:rsidRPr="00AE58CF" w:rsidRDefault="00F87176" w:rsidP="00F87176">
      <w:pPr>
        <w:pStyle w:val="ASRHeading3"/>
        <w:numPr>
          <w:ilvl w:val="0"/>
          <w:numId w:val="20"/>
        </w:numPr>
        <w:rPr>
          <w:rFonts w:asciiTheme="minorHAnsi" w:hAnsiTheme="minorHAnsi" w:cs="Arial"/>
          <w:b w:val="0"/>
          <w:sz w:val="22"/>
          <w:szCs w:val="22"/>
        </w:rPr>
      </w:pPr>
      <w:r w:rsidRPr="00AE58CF">
        <w:rPr>
          <w:rFonts w:asciiTheme="minorHAnsi" w:hAnsiTheme="minorHAnsi" w:cs="Arial"/>
          <w:b w:val="0"/>
          <w:sz w:val="22"/>
          <w:szCs w:val="22"/>
        </w:rPr>
        <w:t>Staff attend teacher professional learning with emphasis on persuasive writing.</w:t>
      </w:r>
    </w:p>
    <w:p w:rsidR="00F87176" w:rsidRPr="00AE58CF" w:rsidRDefault="00F87176" w:rsidP="00F87176">
      <w:pPr>
        <w:pStyle w:val="ASRHeading3"/>
        <w:numPr>
          <w:ilvl w:val="0"/>
          <w:numId w:val="20"/>
        </w:numPr>
        <w:rPr>
          <w:rFonts w:asciiTheme="minorHAnsi" w:hAnsiTheme="minorHAnsi" w:cs="Arial"/>
          <w:b w:val="0"/>
          <w:sz w:val="22"/>
          <w:szCs w:val="22"/>
        </w:rPr>
      </w:pPr>
      <w:r w:rsidRPr="00AE58CF">
        <w:rPr>
          <w:rFonts w:asciiTheme="minorHAnsi" w:hAnsiTheme="minorHAnsi" w:cs="Arial"/>
          <w:b w:val="0"/>
          <w:sz w:val="22"/>
          <w:szCs w:val="22"/>
        </w:rPr>
        <w:t>Writing instruction as a stage group once a week to share teacher knowledge and expertise.</w:t>
      </w:r>
    </w:p>
    <w:p w:rsidR="00F87176" w:rsidRPr="00AE58CF" w:rsidRDefault="00F87176" w:rsidP="00F87176">
      <w:pPr>
        <w:pStyle w:val="ASRBodyText"/>
        <w:numPr>
          <w:ilvl w:val="0"/>
          <w:numId w:val="22"/>
        </w:numPr>
        <w:spacing w:after="0"/>
        <w:rPr>
          <w:rFonts w:cs="Arial"/>
        </w:rPr>
      </w:pPr>
      <w:r w:rsidRPr="00AE58CF">
        <w:rPr>
          <w:rFonts w:cs="Arial"/>
        </w:rPr>
        <w:t>Staff confident in teaching complex grammar and sentence structure with a specific reference to persuasive texts.</w:t>
      </w:r>
    </w:p>
    <w:p w:rsidR="00AB5E26" w:rsidRPr="00AE58CF" w:rsidRDefault="00F87176" w:rsidP="00AE58CF">
      <w:pPr>
        <w:pStyle w:val="ASRListBullet"/>
        <w:numPr>
          <w:ilvl w:val="0"/>
          <w:numId w:val="22"/>
        </w:numPr>
        <w:rPr>
          <w:b/>
        </w:rPr>
      </w:pPr>
      <w:r w:rsidRPr="00AE58CF">
        <w:rPr>
          <w:rFonts w:cs="Arial"/>
        </w:rPr>
        <w:t>An established set of work samples models for writing and the development of Rubric as a component in the teaching program</w:t>
      </w:r>
    </w:p>
    <w:p w:rsidR="00AB5E26" w:rsidRPr="00F87176" w:rsidRDefault="00AB5E26" w:rsidP="00AB5E26">
      <w:pPr>
        <w:pStyle w:val="ASRListBullet"/>
        <w:numPr>
          <w:ilvl w:val="0"/>
          <w:numId w:val="0"/>
        </w:numPr>
        <w:ind w:left="357"/>
        <w:rPr>
          <w:b/>
        </w:rPr>
      </w:pPr>
      <w:r w:rsidRPr="00F87176">
        <w:rPr>
          <w:b/>
        </w:rPr>
        <w:t>Target 2</w:t>
      </w:r>
    </w:p>
    <w:p w:rsidR="00AB5E26" w:rsidRPr="00F87176" w:rsidRDefault="00AB5E26" w:rsidP="00AB5E26">
      <w:pPr>
        <w:pStyle w:val="ASRListBullet"/>
        <w:numPr>
          <w:ilvl w:val="0"/>
          <w:numId w:val="0"/>
        </w:numPr>
        <w:ind w:left="357"/>
        <w:rPr>
          <w:b/>
        </w:rPr>
      </w:pPr>
      <w:r w:rsidRPr="00F87176">
        <w:rPr>
          <w:b/>
        </w:rPr>
        <w:t>Numeracy</w:t>
      </w:r>
    </w:p>
    <w:p w:rsidR="00AB5E26" w:rsidRPr="00F87176" w:rsidRDefault="00AB5E26" w:rsidP="00E40C97">
      <w:pPr>
        <w:pStyle w:val="ASRListBullet"/>
        <w:numPr>
          <w:ilvl w:val="0"/>
          <w:numId w:val="0"/>
        </w:numPr>
        <w:ind w:left="720" w:hanging="360"/>
        <w:rPr>
          <w:rStyle w:val="ASRBodyTextChar"/>
          <w:rFonts w:cs="Arial"/>
          <w:b/>
          <w:i/>
        </w:rPr>
      </w:pPr>
      <w:r w:rsidRPr="00F87176">
        <w:rPr>
          <w:rStyle w:val="ASRBodyTextChar"/>
          <w:rFonts w:cs="Arial"/>
        </w:rPr>
        <w:t>95% stud</w:t>
      </w:r>
      <w:r w:rsidR="00E40C97">
        <w:rPr>
          <w:rStyle w:val="ASRBodyTextChar"/>
          <w:rFonts w:cs="Arial"/>
        </w:rPr>
        <w:t xml:space="preserve">ents in year 3 performing at or </w:t>
      </w:r>
      <w:r w:rsidRPr="00F87176">
        <w:rPr>
          <w:rStyle w:val="ASRBodyTextChar"/>
          <w:rFonts w:cs="Arial"/>
        </w:rPr>
        <w:t xml:space="preserve">above minimum standards in numeracy. </w:t>
      </w:r>
    </w:p>
    <w:p w:rsidR="00AB5E26" w:rsidRPr="00F87176" w:rsidRDefault="00AB5E26" w:rsidP="00E40C97">
      <w:pPr>
        <w:pStyle w:val="ASRListBullet"/>
        <w:numPr>
          <w:ilvl w:val="0"/>
          <w:numId w:val="0"/>
        </w:numPr>
        <w:ind w:left="720" w:hanging="360"/>
        <w:rPr>
          <w:rStyle w:val="ASRBodyTextChar"/>
          <w:rFonts w:cs="Arial"/>
          <w:b/>
          <w:i/>
        </w:rPr>
      </w:pPr>
      <w:r w:rsidRPr="00F87176">
        <w:rPr>
          <w:rStyle w:val="ASRBodyTextChar"/>
          <w:rFonts w:cs="Arial"/>
        </w:rPr>
        <w:t>38% of students in year 3 achieving in the proficient range in numeracy.</w:t>
      </w:r>
    </w:p>
    <w:p w:rsidR="00AB5E26" w:rsidRPr="00F87176" w:rsidRDefault="00AB5E26" w:rsidP="00E40C97">
      <w:pPr>
        <w:pStyle w:val="ASRListBullet"/>
        <w:numPr>
          <w:ilvl w:val="0"/>
          <w:numId w:val="0"/>
        </w:numPr>
        <w:ind w:left="720" w:hanging="360"/>
        <w:rPr>
          <w:rStyle w:val="ASRBodyTextChar"/>
          <w:rFonts w:cs="Arial"/>
          <w:b/>
          <w:i/>
        </w:rPr>
      </w:pPr>
      <w:r w:rsidRPr="00F87176">
        <w:rPr>
          <w:rStyle w:val="ASRBodyTextChar"/>
          <w:rFonts w:cs="Arial"/>
        </w:rPr>
        <w:t xml:space="preserve">96% students in year 5 performing at or above minimum standards in numeracy. </w:t>
      </w:r>
    </w:p>
    <w:p w:rsidR="00AB5E26" w:rsidRPr="00F87176" w:rsidRDefault="00AB5E26" w:rsidP="00E40C97">
      <w:pPr>
        <w:pStyle w:val="ASRListBullet"/>
        <w:numPr>
          <w:ilvl w:val="0"/>
          <w:numId w:val="0"/>
        </w:numPr>
        <w:ind w:left="720" w:hanging="360"/>
        <w:rPr>
          <w:rStyle w:val="ASRBodyTextChar"/>
          <w:rFonts w:cs="Arial"/>
          <w:b/>
          <w:i/>
        </w:rPr>
      </w:pPr>
      <w:r w:rsidRPr="00F87176">
        <w:rPr>
          <w:rStyle w:val="ASRBodyTextChar"/>
          <w:rFonts w:cs="Arial"/>
        </w:rPr>
        <w:t>30% of students in year 5 achieving in the proficient range in numeracy.</w:t>
      </w:r>
    </w:p>
    <w:p w:rsidR="00AB5E26" w:rsidRPr="00F87176" w:rsidRDefault="00AB5E26" w:rsidP="00AB5E26">
      <w:pPr>
        <w:pStyle w:val="ASRListBullet"/>
        <w:numPr>
          <w:ilvl w:val="0"/>
          <w:numId w:val="0"/>
        </w:numPr>
        <w:ind w:left="357"/>
      </w:pPr>
      <w:r w:rsidRPr="00F87176">
        <w:t>Our achievements include:</w:t>
      </w:r>
    </w:p>
    <w:p w:rsidR="00F87176" w:rsidRPr="00AE58CF" w:rsidRDefault="00F87176" w:rsidP="00F87176">
      <w:pPr>
        <w:pStyle w:val="ASRBodyText"/>
        <w:numPr>
          <w:ilvl w:val="0"/>
          <w:numId w:val="23"/>
        </w:numPr>
        <w:spacing w:after="0"/>
        <w:rPr>
          <w:rFonts w:cs="Arial"/>
        </w:rPr>
      </w:pPr>
      <w:r w:rsidRPr="00AE58CF">
        <w:rPr>
          <w:rFonts w:cs="Arial"/>
        </w:rPr>
        <w:t xml:space="preserve">Participation in the Targeting Early Numeracy (TENS) Program, involving working with a numeracy leader. </w:t>
      </w:r>
    </w:p>
    <w:p w:rsidR="00F87176" w:rsidRPr="00AE58CF" w:rsidRDefault="00F87176" w:rsidP="00F87176">
      <w:pPr>
        <w:pStyle w:val="ASRBodyText"/>
        <w:numPr>
          <w:ilvl w:val="0"/>
          <w:numId w:val="23"/>
        </w:numPr>
        <w:spacing w:after="0"/>
        <w:rPr>
          <w:rFonts w:cs="Arial"/>
        </w:rPr>
      </w:pPr>
      <w:r w:rsidRPr="00AE58CF">
        <w:rPr>
          <w:rFonts w:cs="Arial"/>
        </w:rPr>
        <w:t>Explicit, systematic teaching in the Mass and Area sub strands of the curriculum</w:t>
      </w:r>
    </w:p>
    <w:p w:rsidR="00F87176" w:rsidRPr="00AE58CF" w:rsidRDefault="00F87176" w:rsidP="00F87176">
      <w:pPr>
        <w:pStyle w:val="ASRBodyText"/>
        <w:numPr>
          <w:ilvl w:val="0"/>
          <w:numId w:val="23"/>
        </w:numPr>
        <w:spacing w:after="0"/>
        <w:rPr>
          <w:rFonts w:cs="Arial"/>
        </w:rPr>
      </w:pPr>
      <w:r w:rsidRPr="00AE58CF">
        <w:rPr>
          <w:rFonts w:cs="Arial"/>
        </w:rPr>
        <w:t>Explicit, systematic teaching in the Working Mathematically strand in conjunction with assessment analysis of the Number Patterns sub strand</w:t>
      </w:r>
    </w:p>
    <w:p w:rsidR="00F87176" w:rsidRPr="00AE58CF" w:rsidRDefault="00F87176" w:rsidP="00F87176">
      <w:pPr>
        <w:pStyle w:val="ASRBodyText"/>
        <w:numPr>
          <w:ilvl w:val="0"/>
          <w:numId w:val="23"/>
        </w:numPr>
        <w:spacing w:after="0"/>
        <w:rPr>
          <w:rFonts w:cs="Arial"/>
        </w:rPr>
      </w:pPr>
      <w:r w:rsidRPr="00AE58CF">
        <w:rPr>
          <w:rFonts w:cs="Arial"/>
        </w:rPr>
        <w:t xml:space="preserve">Explicit, systematic teaching of Fractions and Decimals </w:t>
      </w:r>
    </w:p>
    <w:p w:rsidR="00F87176" w:rsidRPr="00AE58CF" w:rsidRDefault="00F87176" w:rsidP="00F87176">
      <w:pPr>
        <w:pStyle w:val="ASRBodyText"/>
        <w:numPr>
          <w:ilvl w:val="0"/>
          <w:numId w:val="22"/>
        </w:numPr>
        <w:spacing w:after="0"/>
        <w:rPr>
          <w:rFonts w:cs="Arial"/>
        </w:rPr>
      </w:pPr>
      <w:r w:rsidRPr="00AE58CF">
        <w:rPr>
          <w:rFonts w:cs="Arial"/>
        </w:rPr>
        <w:t>Inclusion of detailed analysis of student assessment data for Number and Measurement in planning of ongoing lessons</w:t>
      </w:r>
    </w:p>
    <w:p w:rsidR="00F87176" w:rsidRPr="00AE58CF" w:rsidRDefault="00F87176" w:rsidP="00F87176">
      <w:pPr>
        <w:pStyle w:val="ASRBodyText"/>
        <w:numPr>
          <w:ilvl w:val="0"/>
          <w:numId w:val="22"/>
        </w:numPr>
        <w:spacing w:after="0"/>
        <w:rPr>
          <w:rFonts w:cs="Arial"/>
        </w:rPr>
      </w:pPr>
      <w:r w:rsidRPr="00AE58CF">
        <w:rPr>
          <w:rFonts w:cs="Arial"/>
        </w:rPr>
        <w:lastRenderedPageBreak/>
        <w:t>Ability of students to achieve set criteria specifically in relation to mass and area, fractions, decimals and number patterns</w:t>
      </w:r>
    </w:p>
    <w:p w:rsidR="00AB5E26" w:rsidRPr="00F87176" w:rsidRDefault="00AB5E26" w:rsidP="00F87176">
      <w:pPr>
        <w:pStyle w:val="ASRListBullet"/>
        <w:numPr>
          <w:ilvl w:val="0"/>
          <w:numId w:val="0"/>
        </w:numPr>
      </w:pPr>
    </w:p>
    <w:p w:rsidR="00AB5E26" w:rsidRPr="00F87176" w:rsidRDefault="00AB5E26" w:rsidP="00F87176">
      <w:pPr>
        <w:pStyle w:val="ASRHeading3"/>
        <w:jc w:val="center"/>
        <w:rPr>
          <w:rFonts w:asciiTheme="minorHAnsi" w:hAnsiTheme="minorHAnsi"/>
        </w:rPr>
      </w:pPr>
      <w:r w:rsidRPr="00F87176">
        <w:rPr>
          <w:rFonts w:asciiTheme="minorHAnsi" w:hAnsiTheme="minorHAnsi"/>
        </w:rPr>
        <w:t>Target 3</w:t>
      </w:r>
    </w:p>
    <w:p w:rsidR="00AB5E26" w:rsidRPr="00F87176" w:rsidRDefault="00AB5E26" w:rsidP="00AB5E26">
      <w:pPr>
        <w:pStyle w:val="Targets"/>
        <w:rPr>
          <w:rStyle w:val="ASRBodyTextChar"/>
          <w:i w:val="0"/>
        </w:rPr>
      </w:pPr>
      <w:r w:rsidRPr="00F87176">
        <w:rPr>
          <w:rStyle w:val="ASRBodyTextChar"/>
          <w:i w:val="0"/>
        </w:rPr>
        <w:t>School As Community Centred Hub</w:t>
      </w:r>
    </w:p>
    <w:p w:rsidR="00AB5E26" w:rsidRPr="00F87176" w:rsidRDefault="00AB5E26" w:rsidP="00AB5E26">
      <w:pPr>
        <w:pStyle w:val="Targets"/>
        <w:rPr>
          <w:rStyle w:val="ASRBodyTextChar"/>
          <w:rFonts w:cs="Arial"/>
          <w:b w:val="0"/>
          <w:i w:val="0"/>
        </w:rPr>
      </w:pPr>
    </w:p>
    <w:p w:rsidR="00AB5E26" w:rsidRPr="00F87176" w:rsidRDefault="00AB5E26" w:rsidP="00AB5E26">
      <w:pPr>
        <w:pStyle w:val="Targets"/>
        <w:rPr>
          <w:rStyle w:val="ASRBodyTextChar"/>
          <w:rFonts w:cs="Arial"/>
          <w:b w:val="0"/>
          <w:i w:val="0"/>
        </w:rPr>
      </w:pPr>
      <w:r w:rsidRPr="00F87176">
        <w:rPr>
          <w:rStyle w:val="ASRBodyTextChar"/>
          <w:rFonts w:cs="Arial"/>
          <w:b w:val="0"/>
          <w:i w:val="0"/>
        </w:rPr>
        <w:t>Extend the project in the school to incorporate further strategies that encourage greater health and welfare of children and families</w:t>
      </w:r>
    </w:p>
    <w:p w:rsidR="00E40C97" w:rsidRPr="00F87176" w:rsidRDefault="00E40C97" w:rsidP="00E40C97">
      <w:pPr>
        <w:pStyle w:val="ASRListBullet"/>
        <w:numPr>
          <w:ilvl w:val="0"/>
          <w:numId w:val="0"/>
        </w:numPr>
        <w:ind w:left="357"/>
      </w:pPr>
      <w:r w:rsidRPr="00F87176">
        <w:t>Our achievements include:</w:t>
      </w:r>
    </w:p>
    <w:p w:rsidR="00AB5E26" w:rsidRPr="00F87176" w:rsidRDefault="00E40C97" w:rsidP="00E40C97">
      <w:pPr>
        <w:pStyle w:val="Targets"/>
        <w:numPr>
          <w:ilvl w:val="0"/>
          <w:numId w:val="33"/>
        </w:numPr>
        <w:ind w:left="426"/>
        <w:rPr>
          <w:rStyle w:val="ASRBodyTextChar"/>
          <w:rFonts w:cs="Arial"/>
          <w:b w:val="0"/>
          <w:i w:val="0"/>
        </w:rPr>
      </w:pPr>
      <w:r>
        <w:rPr>
          <w:rStyle w:val="ASRBodyTextChar"/>
          <w:rFonts w:cs="Arial"/>
          <w:b w:val="0"/>
          <w:i w:val="0"/>
        </w:rPr>
        <w:t>An i</w:t>
      </w:r>
      <w:r w:rsidR="00AB5E26" w:rsidRPr="00F87176">
        <w:rPr>
          <w:rStyle w:val="ASRBodyTextChar"/>
          <w:rFonts w:cs="Arial"/>
          <w:b w:val="0"/>
          <w:i w:val="0"/>
        </w:rPr>
        <w:t>ncrease the number of activities and services available to families to support children’s welfare and development</w:t>
      </w:r>
    </w:p>
    <w:p w:rsidR="00AB5E26" w:rsidRPr="00F87176" w:rsidRDefault="00AB5E26" w:rsidP="00AB5E26">
      <w:pPr>
        <w:pStyle w:val="Targets"/>
        <w:numPr>
          <w:ilvl w:val="0"/>
          <w:numId w:val="21"/>
        </w:numPr>
        <w:rPr>
          <w:rStyle w:val="ASRBodyTextChar"/>
          <w:rFonts w:cs="Arial"/>
          <w:b w:val="0"/>
          <w:i w:val="0"/>
        </w:rPr>
      </w:pPr>
      <w:r w:rsidRPr="00F87176">
        <w:rPr>
          <w:rStyle w:val="ASRBodyTextChar"/>
          <w:rFonts w:cs="Arial"/>
          <w:b w:val="0"/>
          <w:i w:val="0"/>
        </w:rPr>
        <w:t>Enhanced professional links between school staff and pre-school staff in the local area</w:t>
      </w:r>
    </w:p>
    <w:p w:rsidR="00AB5E26" w:rsidRPr="00F87176" w:rsidRDefault="00AB5E26" w:rsidP="00AB5E26">
      <w:pPr>
        <w:pStyle w:val="Targets"/>
        <w:numPr>
          <w:ilvl w:val="0"/>
          <w:numId w:val="21"/>
        </w:numPr>
        <w:rPr>
          <w:rStyle w:val="ASRBodyTextChar"/>
          <w:rFonts w:cs="Arial"/>
          <w:b w:val="0"/>
          <w:i w:val="0"/>
        </w:rPr>
      </w:pPr>
      <w:r w:rsidRPr="00F87176">
        <w:rPr>
          <w:rStyle w:val="ASRBodyTextChar"/>
          <w:rFonts w:cs="Arial"/>
          <w:b w:val="0"/>
          <w:i w:val="0"/>
        </w:rPr>
        <w:t>Specific activities for parents and community that relate to their wellbeing</w:t>
      </w:r>
    </w:p>
    <w:p w:rsidR="00AB5E26" w:rsidRPr="00F87176" w:rsidRDefault="00AB5E26" w:rsidP="00AB5E26">
      <w:pPr>
        <w:pStyle w:val="Targets"/>
        <w:numPr>
          <w:ilvl w:val="0"/>
          <w:numId w:val="21"/>
        </w:numPr>
        <w:rPr>
          <w:rStyle w:val="ASRBodyTextChar"/>
          <w:rFonts w:cs="Arial"/>
          <w:b w:val="0"/>
          <w:i w:val="0"/>
        </w:rPr>
      </w:pPr>
      <w:r w:rsidRPr="00F87176">
        <w:rPr>
          <w:rStyle w:val="ASRBodyTextChar"/>
          <w:rFonts w:cs="Arial"/>
          <w:b w:val="0"/>
          <w:i w:val="0"/>
        </w:rPr>
        <w:t>Provide regular information to community about local parenting and community development activities including new activities being run by the school</w:t>
      </w:r>
    </w:p>
    <w:p w:rsidR="00F87176" w:rsidRPr="00F87176" w:rsidRDefault="00F87176" w:rsidP="00E40C97">
      <w:pPr>
        <w:pStyle w:val="Targets"/>
        <w:numPr>
          <w:ilvl w:val="0"/>
          <w:numId w:val="21"/>
        </w:numPr>
        <w:rPr>
          <w:rStyle w:val="ASRBodyTextChar"/>
          <w:rFonts w:cs="Arial"/>
          <w:b w:val="0"/>
          <w:i w:val="0"/>
        </w:rPr>
      </w:pPr>
      <w:r w:rsidRPr="00F87176">
        <w:rPr>
          <w:rStyle w:val="ASRBodyTextChar"/>
          <w:rFonts w:cs="Arial"/>
          <w:b w:val="0"/>
          <w:i w:val="0"/>
        </w:rPr>
        <w:t>Increased parental participation in activities and services provided</w:t>
      </w:r>
    </w:p>
    <w:p w:rsidR="00F87176" w:rsidRPr="00F87176" w:rsidRDefault="00F87176" w:rsidP="00F87176">
      <w:pPr>
        <w:pStyle w:val="Targets"/>
        <w:numPr>
          <w:ilvl w:val="0"/>
          <w:numId w:val="21"/>
        </w:numPr>
        <w:rPr>
          <w:rStyle w:val="ASRBodyTextChar"/>
          <w:rFonts w:cs="Arial"/>
          <w:b w:val="0"/>
          <w:i w:val="0"/>
        </w:rPr>
      </w:pPr>
      <w:r w:rsidRPr="00F87176">
        <w:rPr>
          <w:rStyle w:val="ASRBodyTextChar"/>
          <w:rFonts w:cs="Arial"/>
          <w:b w:val="0"/>
          <w:i w:val="0"/>
        </w:rPr>
        <w:t>Increased activities for local parents to connect them with services and other parents</w:t>
      </w:r>
    </w:p>
    <w:p w:rsidR="00F87176" w:rsidRPr="00F87176" w:rsidRDefault="00F87176" w:rsidP="00F87176">
      <w:pPr>
        <w:pStyle w:val="Targets"/>
        <w:numPr>
          <w:ilvl w:val="0"/>
          <w:numId w:val="21"/>
        </w:numPr>
        <w:rPr>
          <w:rStyle w:val="ASRBodyTextChar"/>
          <w:rFonts w:cs="Arial"/>
          <w:b w:val="0"/>
          <w:i w:val="0"/>
        </w:rPr>
      </w:pPr>
      <w:r w:rsidRPr="00F87176">
        <w:rPr>
          <w:rStyle w:val="ASRBodyTextChar"/>
          <w:rFonts w:cs="Arial"/>
          <w:b w:val="0"/>
          <w:i w:val="0"/>
        </w:rPr>
        <w:t>Greater community support for families and children</w:t>
      </w:r>
    </w:p>
    <w:p w:rsidR="00F87176" w:rsidRPr="00F87176" w:rsidRDefault="00F87176" w:rsidP="00F87176">
      <w:pPr>
        <w:pStyle w:val="Targets"/>
        <w:numPr>
          <w:ilvl w:val="0"/>
          <w:numId w:val="21"/>
        </w:numPr>
        <w:rPr>
          <w:rFonts w:asciiTheme="minorHAnsi" w:hAnsiTheme="minorHAnsi" w:cs="Arial"/>
        </w:rPr>
      </w:pPr>
      <w:r w:rsidRPr="00F87176">
        <w:rPr>
          <w:rStyle w:val="ASRBodyTextChar"/>
          <w:rFonts w:cs="Arial"/>
          <w:b w:val="0"/>
          <w:i w:val="0"/>
        </w:rPr>
        <w:t>Children and families requiring targeted support receive coordinated and timely assistance through provision of an accessible referral process</w:t>
      </w:r>
    </w:p>
    <w:p w:rsidR="00AB5E26" w:rsidRPr="00F87176" w:rsidRDefault="00AB5E26" w:rsidP="00AB5E26">
      <w:pPr>
        <w:pStyle w:val="ASRListBullet"/>
        <w:numPr>
          <w:ilvl w:val="0"/>
          <w:numId w:val="0"/>
        </w:numPr>
        <w:ind w:left="357"/>
        <w:rPr>
          <w:rStyle w:val="ASRBodyTextChar"/>
          <w:rFonts w:cs="Arial"/>
          <w:b/>
          <w:i/>
        </w:rPr>
      </w:pPr>
    </w:p>
    <w:p w:rsidR="00AB5E26" w:rsidRPr="00F87176" w:rsidRDefault="00AB5E26" w:rsidP="00AB5E26">
      <w:pPr>
        <w:pStyle w:val="ASRHeading3"/>
        <w:rPr>
          <w:rFonts w:asciiTheme="minorHAnsi" w:hAnsiTheme="minorHAnsi"/>
        </w:rPr>
      </w:pPr>
      <w:r w:rsidRPr="00F87176">
        <w:rPr>
          <w:rFonts w:asciiTheme="minorHAnsi" w:hAnsiTheme="minorHAnsi"/>
        </w:rPr>
        <w:t>Target 4</w:t>
      </w:r>
    </w:p>
    <w:p w:rsidR="00AB5E26" w:rsidRDefault="00AB5E26" w:rsidP="00AB5E26">
      <w:pPr>
        <w:pStyle w:val="ASRHeading3"/>
        <w:rPr>
          <w:rFonts w:asciiTheme="minorHAnsi" w:hAnsiTheme="minorHAnsi" w:cs="Arial"/>
          <w:b w:val="0"/>
          <w:sz w:val="22"/>
          <w:szCs w:val="22"/>
        </w:rPr>
      </w:pPr>
      <w:r w:rsidRPr="00AE58CF">
        <w:rPr>
          <w:rFonts w:asciiTheme="minorHAnsi" w:hAnsiTheme="minorHAnsi" w:cs="Arial"/>
          <w:b w:val="0"/>
          <w:sz w:val="22"/>
          <w:szCs w:val="22"/>
        </w:rPr>
        <w:t>To embed staff professional learning, in Interactive White Board (IWB) Technology and the Connected Classroom Video Conferencing, into our current work with students learning so it is practical, purposeful and becomes embedded in our teaching for successful implementation throughout the school.</w:t>
      </w:r>
    </w:p>
    <w:p w:rsidR="00006825" w:rsidRPr="00006825" w:rsidRDefault="00006825" w:rsidP="00006825">
      <w:pPr>
        <w:pStyle w:val="ASRListBullet"/>
        <w:numPr>
          <w:ilvl w:val="0"/>
          <w:numId w:val="0"/>
        </w:numPr>
        <w:ind w:left="357"/>
      </w:pPr>
      <w:r w:rsidRPr="00AE58CF">
        <w:t>Our achievements include:</w:t>
      </w:r>
    </w:p>
    <w:p w:rsidR="00AB5E26" w:rsidRPr="00AE58CF" w:rsidRDefault="00006825" w:rsidP="00AB5E26">
      <w:pPr>
        <w:pStyle w:val="ASRListBullet1"/>
        <w:numPr>
          <w:ilvl w:val="0"/>
          <w:numId w:val="2"/>
        </w:numPr>
        <w:spacing w:before="0" w:after="0"/>
        <w:rPr>
          <w:rFonts w:cs="Arial"/>
        </w:rPr>
      </w:pPr>
      <w:r>
        <w:rPr>
          <w:rFonts w:cs="Arial"/>
        </w:rPr>
        <w:lastRenderedPageBreak/>
        <w:t>Collation of</w:t>
      </w:r>
      <w:r w:rsidR="00AB5E26" w:rsidRPr="00AE58CF">
        <w:rPr>
          <w:rFonts w:cs="Arial"/>
        </w:rPr>
        <w:t xml:space="preserve"> teaching resources into the school’s server for easy access by staff so that they are organised and available; </w:t>
      </w:r>
    </w:p>
    <w:p w:rsidR="00AB5E26" w:rsidRPr="00AE58CF" w:rsidRDefault="00AB5E26" w:rsidP="00AB5E26">
      <w:pPr>
        <w:pStyle w:val="ListBullet"/>
        <w:contextualSpacing w:val="0"/>
        <w:jc w:val="both"/>
        <w:rPr>
          <w:rFonts w:cs="Arial"/>
          <w:sz w:val="22"/>
          <w:szCs w:val="22"/>
        </w:rPr>
      </w:pPr>
      <w:r w:rsidRPr="00AE58CF">
        <w:rPr>
          <w:rFonts w:cs="Arial"/>
          <w:sz w:val="22"/>
          <w:szCs w:val="22"/>
        </w:rPr>
        <w:t>ongoing support and training for staff in best practice and skill development for the effective use of this learning tool; and</w:t>
      </w:r>
    </w:p>
    <w:p w:rsidR="00AB5E26" w:rsidRPr="00AE58CF" w:rsidRDefault="00AB5E26" w:rsidP="00AB5E26">
      <w:pPr>
        <w:pStyle w:val="ListBullet"/>
        <w:contextualSpacing w:val="0"/>
        <w:jc w:val="both"/>
        <w:rPr>
          <w:rFonts w:cs="Arial"/>
          <w:sz w:val="22"/>
          <w:szCs w:val="22"/>
        </w:rPr>
      </w:pPr>
      <w:r w:rsidRPr="00AE58CF">
        <w:rPr>
          <w:rFonts w:cs="Arial"/>
          <w:sz w:val="22"/>
          <w:szCs w:val="22"/>
        </w:rPr>
        <w:t>continued emphasis on stage planning, training and evaluation in the use of technology.</w:t>
      </w:r>
    </w:p>
    <w:p w:rsidR="00F87176" w:rsidRPr="00AE58CF" w:rsidRDefault="00F87176" w:rsidP="00006825">
      <w:pPr>
        <w:pStyle w:val="ListBullet"/>
      </w:pPr>
      <w:r w:rsidRPr="00AE58CF">
        <w:t>successful implementation of IWBs and equipment into the teaching practice of each class;</w:t>
      </w:r>
    </w:p>
    <w:p w:rsidR="00F87176" w:rsidRPr="00AE58CF" w:rsidRDefault="00F87176" w:rsidP="00F87176">
      <w:pPr>
        <w:pStyle w:val="ListBullet"/>
        <w:jc w:val="both"/>
        <w:rPr>
          <w:rFonts w:cs="Arial"/>
          <w:sz w:val="22"/>
          <w:szCs w:val="22"/>
        </w:rPr>
      </w:pPr>
      <w:r w:rsidRPr="00AE58CF">
        <w:rPr>
          <w:rFonts w:cs="Arial"/>
          <w:sz w:val="22"/>
          <w:szCs w:val="22"/>
        </w:rPr>
        <w:t>staff continue to have opportunities to share their knowledge of IWB and Connected Classroom use, and staff are more confident and enthusiastic in the application of technology via the IWB; and</w:t>
      </w:r>
    </w:p>
    <w:p w:rsidR="00F87176" w:rsidRPr="00AE58CF" w:rsidRDefault="00F87176" w:rsidP="00F87176">
      <w:pPr>
        <w:pStyle w:val="ListBullet"/>
        <w:jc w:val="both"/>
        <w:rPr>
          <w:rFonts w:cs="Arial"/>
          <w:sz w:val="22"/>
          <w:szCs w:val="22"/>
        </w:rPr>
      </w:pPr>
      <w:r w:rsidRPr="00AE58CF">
        <w:rPr>
          <w:rFonts w:cs="Arial"/>
          <w:sz w:val="22"/>
          <w:szCs w:val="22"/>
        </w:rPr>
        <w:t>students report greater engagement in learning and ability to apply more technology through the use of IWBs in classrooms as an instructional tool.</w:t>
      </w:r>
    </w:p>
    <w:p w:rsidR="00FB554A" w:rsidRPr="00F87176" w:rsidRDefault="00FB554A" w:rsidP="00FD59D8">
      <w:pPr>
        <w:pStyle w:val="ASRHeading2"/>
        <w:outlineLvl w:val="1"/>
      </w:pPr>
      <w:bookmarkStart w:id="38" w:name="_Toc210703321"/>
      <w:bookmarkStart w:id="39" w:name="_Toc210703402"/>
      <w:bookmarkStart w:id="40" w:name="_Toc210703668"/>
      <w:bookmarkStart w:id="41" w:name="_Toc306703606"/>
    </w:p>
    <w:p w:rsidR="009974E3" w:rsidRPr="00F87176" w:rsidRDefault="009974E3" w:rsidP="00FD59D8">
      <w:pPr>
        <w:pStyle w:val="ASRHeading2"/>
        <w:outlineLvl w:val="1"/>
      </w:pPr>
      <w:r w:rsidRPr="00F87176">
        <w:t>Key evaluations</w:t>
      </w:r>
      <w:bookmarkEnd w:id="38"/>
      <w:bookmarkEnd w:id="39"/>
      <w:bookmarkEnd w:id="40"/>
      <w:bookmarkEnd w:id="41"/>
    </w:p>
    <w:p w:rsidR="000F6806" w:rsidRPr="00F87176" w:rsidRDefault="009974E3" w:rsidP="00FB3071">
      <w:pPr>
        <w:pStyle w:val="ASRBodyText"/>
      </w:pPr>
      <w:r w:rsidRPr="00F87176">
        <w:t xml:space="preserve">It is a requirement for all NSW public schools to conduct at least two annual evaluations – one related to educational and management practice and the other related to curriculum. In 2011 our school carried out evaluations of </w:t>
      </w:r>
      <w:r w:rsidR="00006825">
        <w:t>the learning community and writing.</w:t>
      </w:r>
    </w:p>
    <w:p w:rsidR="009974E3" w:rsidRPr="00F87176" w:rsidRDefault="009974E3" w:rsidP="00FD59D8">
      <w:pPr>
        <w:pStyle w:val="ASRHeading3"/>
        <w:outlineLvl w:val="2"/>
        <w:rPr>
          <w:rFonts w:asciiTheme="minorHAnsi" w:hAnsiTheme="minorHAnsi"/>
        </w:rPr>
      </w:pPr>
      <w:bookmarkStart w:id="42" w:name="_Toc306703607"/>
      <w:r w:rsidRPr="00F87176">
        <w:rPr>
          <w:rFonts w:asciiTheme="minorHAnsi" w:hAnsiTheme="minorHAnsi"/>
        </w:rPr>
        <w:t>Educational and management practice</w:t>
      </w:r>
      <w:bookmarkEnd w:id="42"/>
    </w:p>
    <w:p w:rsidR="009974E3" w:rsidRPr="00F87176" w:rsidRDefault="004F2211" w:rsidP="00EB32A6">
      <w:pPr>
        <w:pStyle w:val="ASRBodyText"/>
      </w:pPr>
      <w:r>
        <w:t>Learning communities</w:t>
      </w:r>
    </w:p>
    <w:p w:rsidR="009974E3" w:rsidRDefault="009974E3" w:rsidP="00EB32A6">
      <w:pPr>
        <w:pStyle w:val="ASRHeading4"/>
        <w:rPr>
          <w:rFonts w:asciiTheme="minorHAnsi" w:hAnsiTheme="minorHAnsi"/>
        </w:rPr>
      </w:pPr>
      <w:r w:rsidRPr="00F87176">
        <w:rPr>
          <w:rFonts w:asciiTheme="minorHAnsi" w:hAnsiTheme="minorHAnsi"/>
        </w:rPr>
        <w:t>Background</w:t>
      </w:r>
    </w:p>
    <w:p w:rsidR="004F2211" w:rsidRPr="00AE58CF" w:rsidRDefault="00006825" w:rsidP="004F2211">
      <w:pPr>
        <w:pStyle w:val="Default"/>
        <w:rPr>
          <w:rFonts w:asciiTheme="minorHAnsi" w:hAnsiTheme="minorHAnsi" w:cs="Calibri"/>
          <w:color w:val="auto"/>
          <w:sz w:val="22"/>
          <w:szCs w:val="22"/>
        </w:rPr>
      </w:pPr>
      <w:r>
        <w:rPr>
          <w:rFonts w:asciiTheme="minorHAnsi" w:hAnsiTheme="minorHAnsi" w:cs="Calibri"/>
          <w:color w:val="auto"/>
          <w:sz w:val="22"/>
          <w:szCs w:val="22"/>
        </w:rPr>
        <w:t>Blackheath P</w:t>
      </w:r>
      <w:r w:rsidR="004F2211" w:rsidRPr="00AE58CF">
        <w:rPr>
          <w:rFonts w:asciiTheme="minorHAnsi" w:hAnsiTheme="minorHAnsi" w:cs="Calibri"/>
          <w:color w:val="auto"/>
          <w:sz w:val="22"/>
          <w:szCs w:val="22"/>
        </w:rPr>
        <w:t>ub</w:t>
      </w:r>
      <w:r w:rsidR="007701F6">
        <w:rPr>
          <w:rFonts w:asciiTheme="minorHAnsi" w:hAnsiTheme="minorHAnsi" w:cs="Calibri"/>
          <w:color w:val="auto"/>
          <w:sz w:val="22"/>
          <w:szCs w:val="22"/>
        </w:rPr>
        <w:t xml:space="preserve">lic School belongs to the Upper </w:t>
      </w:r>
      <w:r w:rsidR="004F2211" w:rsidRPr="00AE58CF">
        <w:rPr>
          <w:rFonts w:asciiTheme="minorHAnsi" w:hAnsiTheme="minorHAnsi" w:cs="Calibri"/>
          <w:color w:val="auto"/>
          <w:sz w:val="22"/>
          <w:szCs w:val="22"/>
        </w:rPr>
        <w:t>Blue Mountains Learning Community (UBMLC) which is responsible for the collaborative management of joint initiatives and resultant professional development, transition to high school and school community promotional opportunities. Member schools also include Megalong PS, Mt Victoria PS, Katoomba PS, Katoomba North PS, Leura PS, Wentworth Falls PS, Lawson PS, H</w:t>
      </w:r>
      <w:r w:rsidR="00575ACD">
        <w:rPr>
          <w:rFonts w:asciiTheme="minorHAnsi" w:hAnsiTheme="minorHAnsi" w:cs="Calibri"/>
          <w:color w:val="auto"/>
          <w:sz w:val="22"/>
          <w:szCs w:val="22"/>
        </w:rPr>
        <w:t>azelbrook PS and Katoomba High S</w:t>
      </w:r>
      <w:r w:rsidR="004F2211" w:rsidRPr="00AE58CF">
        <w:rPr>
          <w:rFonts w:asciiTheme="minorHAnsi" w:hAnsiTheme="minorHAnsi" w:cs="Calibri"/>
          <w:color w:val="auto"/>
          <w:sz w:val="22"/>
          <w:szCs w:val="22"/>
        </w:rPr>
        <w:t xml:space="preserve">chool. </w:t>
      </w:r>
    </w:p>
    <w:p w:rsidR="004F2211" w:rsidRPr="00F87176" w:rsidRDefault="004F2211" w:rsidP="00EB32A6">
      <w:pPr>
        <w:pStyle w:val="ASRHeading4"/>
        <w:rPr>
          <w:rFonts w:asciiTheme="minorHAnsi" w:hAnsiTheme="minorHAnsi"/>
        </w:rPr>
      </w:pPr>
    </w:p>
    <w:p w:rsidR="00006825" w:rsidRDefault="00006825" w:rsidP="00EB32A6">
      <w:pPr>
        <w:pStyle w:val="ASRHeading4"/>
        <w:rPr>
          <w:rFonts w:asciiTheme="minorHAnsi" w:hAnsiTheme="minorHAnsi"/>
        </w:rPr>
      </w:pPr>
    </w:p>
    <w:p w:rsidR="00575ACD" w:rsidRDefault="00575ACD" w:rsidP="00EB32A6">
      <w:pPr>
        <w:pStyle w:val="ASRHeading4"/>
        <w:rPr>
          <w:rFonts w:asciiTheme="minorHAnsi" w:hAnsiTheme="minorHAnsi"/>
        </w:rPr>
      </w:pPr>
    </w:p>
    <w:p w:rsidR="009974E3" w:rsidRPr="00F87176" w:rsidRDefault="009974E3" w:rsidP="00EB32A6">
      <w:pPr>
        <w:pStyle w:val="ASRHeading4"/>
        <w:rPr>
          <w:rFonts w:asciiTheme="minorHAnsi" w:hAnsiTheme="minorHAnsi"/>
        </w:rPr>
      </w:pPr>
      <w:r w:rsidRPr="00F87176">
        <w:rPr>
          <w:rFonts w:asciiTheme="minorHAnsi" w:hAnsiTheme="minorHAnsi"/>
        </w:rPr>
        <w:lastRenderedPageBreak/>
        <w:t>Findings and conclusions</w:t>
      </w:r>
    </w:p>
    <w:p w:rsidR="00CF1CBC" w:rsidRPr="00AE58CF" w:rsidRDefault="00CF1CBC" w:rsidP="004F2211">
      <w:pPr>
        <w:pStyle w:val="Default"/>
        <w:rPr>
          <w:rFonts w:asciiTheme="minorHAnsi" w:hAnsiTheme="minorHAnsi" w:cs="Calibri"/>
          <w:color w:val="auto"/>
          <w:sz w:val="22"/>
          <w:szCs w:val="22"/>
        </w:rPr>
      </w:pPr>
      <w:r w:rsidRPr="00AE58CF">
        <w:rPr>
          <w:rFonts w:asciiTheme="minorHAnsi" w:hAnsiTheme="minorHAnsi" w:cs="Calibri"/>
          <w:color w:val="auto"/>
          <w:sz w:val="22"/>
          <w:szCs w:val="22"/>
        </w:rPr>
        <w:t>The UBMLC is a very valuable resource for the schools and provides for collaborative decision making and educational directions between schools in geographical proximity.</w:t>
      </w:r>
    </w:p>
    <w:p w:rsidR="00CF1CBC" w:rsidRPr="00AE58CF" w:rsidRDefault="00CF1CBC" w:rsidP="004F2211">
      <w:pPr>
        <w:pStyle w:val="Default"/>
        <w:rPr>
          <w:rFonts w:asciiTheme="minorHAnsi" w:hAnsiTheme="minorHAnsi" w:cs="Calibri"/>
          <w:color w:val="auto"/>
          <w:sz w:val="22"/>
          <w:szCs w:val="22"/>
        </w:rPr>
      </w:pPr>
    </w:p>
    <w:p w:rsidR="004F2211" w:rsidRPr="00AE58CF" w:rsidRDefault="00006825" w:rsidP="004F2211">
      <w:pPr>
        <w:pStyle w:val="Default"/>
        <w:rPr>
          <w:rFonts w:asciiTheme="minorHAnsi" w:hAnsiTheme="minorHAnsi" w:cs="Calibri"/>
          <w:color w:val="auto"/>
          <w:sz w:val="22"/>
          <w:szCs w:val="22"/>
        </w:rPr>
      </w:pPr>
      <w:r>
        <w:rPr>
          <w:rFonts w:asciiTheme="minorHAnsi" w:hAnsiTheme="minorHAnsi" w:cs="Calibri"/>
          <w:color w:val="auto"/>
          <w:sz w:val="22"/>
          <w:szCs w:val="22"/>
        </w:rPr>
        <w:t>Throughout 2011</w:t>
      </w:r>
      <w:r w:rsidR="004F2211" w:rsidRPr="00AE58CF">
        <w:rPr>
          <w:rFonts w:asciiTheme="minorHAnsi" w:hAnsiTheme="minorHAnsi" w:cs="Calibri"/>
          <w:color w:val="auto"/>
          <w:sz w:val="22"/>
          <w:szCs w:val="22"/>
        </w:rPr>
        <w:t xml:space="preserve"> joint activities included a Music Festival, transition days for Stage 3 children across a variety of secondary subjects and enrichment activities for identified gifted students. Student leadership and transition opportunities were also a focus. </w:t>
      </w:r>
    </w:p>
    <w:p w:rsidR="00CF1CBC" w:rsidRDefault="00CF1CBC" w:rsidP="004F2211">
      <w:pPr>
        <w:pStyle w:val="Default"/>
        <w:rPr>
          <w:rFonts w:ascii="Calibri" w:hAnsi="Calibri" w:cs="Calibri"/>
          <w:color w:val="auto"/>
          <w:sz w:val="22"/>
          <w:szCs w:val="22"/>
        </w:rPr>
      </w:pPr>
    </w:p>
    <w:p w:rsidR="00CF1CBC" w:rsidRPr="00CF1CBC" w:rsidRDefault="00CF1CBC" w:rsidP="004F2211">
      <w:pPr>
        <w:pStyle w:val="Default"/>
        <w:rPr>
          <w:rFonts w:asciiTheme="minorHAnsi" w:hAnsiTheme="minorHAnsi" w:cs="Calibri"/>
          <w:b/>
          <w:color w:val="auto"/>
          <w:sz w:val="22"/>
          <w:szCs w:val="22"/>
        </w:rPr>
      </w:pPr>
      <w:r w:rsidRPr="00CF1CBC">
        <w:rPr>
          <w:rFonts w:asciiTheme="minorHAnsi" w:hAnsiTheme="minorHAnsi" w:cs="Calibri"/>
          <w:b/>
          <w:color w:val="auto"/>
          <w:sz w:val="22"/>
          <w:szCs w:val="22"/>
        </w:rPr>
        <w:t>Future directions</w:t>
      </w:r>
    </w:p>
    <w:p w:rsidR="00CF1CBC" w:rsidRDefault="00CF1CBC" w:rsidP="004F2211">
      <w:pPr>
        <w:pStyle w:val="Default"/>
        <w:rPr>
          <w:rFonts w:ascii="Calibri" w:hAnsi="Calibri" w:cs="Calibri"/>
          <w:color w:val="auto"/>
          <w:sz w:val="22"/>
          <w:szCs w:val="22"/>
        </w:rPr>
      </w:pPr>
    </w:p>
    <w:p w:rsidR="00006825" w:rsidRDefault="00006825" w:rsidP="004F2211">
      <w:pPr>
        <w:pStyle w:val="Default"/>
        <w:rPr>
          <w:rFonts w:ascii="Calibri" w:hAnsi="Calibri" w:cs="Calibri"/>
          <w:color w:val="auto"/>
          <w:sz w:val="22"/>
          <w:szCs w:val="22"/>
        </w:rPr>
      </w:pPr>
      <w:r>
        <w:rPr>
          <w:rFonts w:ascii="Calibri" w:hAnsi="Calibri" w:cs="Calibri"/>
          <w:color w:val="auto"/>
          <w:sz w:val="22"/>
          <w:szCs w:val="22"/>
        </w:rPr>
        <w:t>Blackheath school in collaboration with the UBMLC will develop:</w:t>
      </w:r>
    </w:p>
    <w:p w:rsidR="00CF1CBC" w:rsidRDefault="00CF1CBC" w:rsidP="004F2211">
      <w:pPr>
        <w:pStyle w:val="Default"/>
        <w:rPr>
          <w:rFonts w:ascii="Calibri" w:hAnsi="Calibri" w:cs="Calibri"/>
          <w:color w:val="auto"/>
          <w:sz w:val="22"/>
          <w:szCs w:val="22"/>
        </w:rPr>
      </w:pPr>
    </w:p>
    <w:p w:rsidR="00CF1CBC" w:rsidRPr="00AE58CF" w:rsidRDefault="00CF1CBC" w:rsidP="00CF1CBC">
      <w:pPr>
        <w:pStyle w:val="Default"/>
        <w:numPr>
          <w:ilvl w:val="0"/>
          <w:numId w:val="24"/>
        </w:numPr>
        <w:rPr>
          <w:rFonts w:asciiTheme="minorHAnsi" w:hAnsiTheme="minorHAnsi" w:cs="Calibri"/>
          <w:color w:val="auto"/>
          <w:sz w:val="22"/>
          <w:szCs w:val="22"/>
        </w:rPr>
      </w:pPr>
      <w:r w:rsidRPr="00AE58CF">
        <w:rPr>
          <w:rFonts w:asciiTheme="minorHAnsi" w:hAnsiTheme="minorHAnsi" w:cs="Calibri"/>
          <w:color w:val="auto"/>
          <w:sz w:val="22"/>
          <w:szCs w:val="22"/>
        </w:rPr>
        <w:t xml:space="preserve">Academic growth – NAPLAN results across Years 3, 5, 7 and 9 allows for analysis of teaching and learning and resource management practices across partner schools. </w:t>
      </w:r>
    </w:p>
    <w:p w:rsidR="00CF1CBC" w:rsidRPr="00AE58CF" w:rsidRDefault="00A42C85" w:rsidP="00CF1CBC">
      <w:pPr>
        <w:pStyle w:val="Default"/>
        <w:numPr>
          <w:ilvl w:val="0"/>
          <w:numId w:val="24"/>
        </w:numPr>
        <w:spacing w:after="150"/>
        <w:rPr>
          <w:rFonts w:asciiTheme="minorHAnsi" w:hAnsiTheme="minorHAnsi" w:cs="Calibri"/>
          <w:sz w:val="22"/>
          <w:szCs w:val="22"/>
        </w:rPr>
      </w:pPr>
      <w:r>
        <w:rPr>
          <w:rFonts w:asciiTheme="minorHAnsi" w:hAnsiTheme="minorHAnsi" w:cs="Calibri"/>
          <w:sz w:val="22"/>
          <w:szCs w:val="22"/>
        </w:rPr>
        <w:t>A middle school structure</w:t>
      </w:r>
      <w:r w:rsidR="00CF1CBC" w:rsidRPr="00AE58CF">
        <w:rPr>
          <w:rFonts w:asciiTheme="minorHAnsi" w:hAnsiTheme="minorHAnsi" w:cs="Calibri"/>
          <w:sz w:val="22"/>
          <w:szCs w:val="22"/>
        </w:rPr>
        <w:t xml:space="preserve"> addressing the curriculum and welfare needs of Year 7 students. </w:t>
      </w:r>
    </w:p>
    <w:p w:rsidR="00CF1CBC" w:rsidRPr="00AE58CF" w:rsidRDefault="00CF1CBC" w:rsidP="00CF1CBC">
      <w:pPr>
        <w:pStyle w:val="Default"/>
        <w:numPr>
          <w:ilvl w:val="0"/>
          <w:numId w:val="24"/>
        </w:numPr>
        <w:spacing w:after="150"/>
        <w:rPr>
          <w:rFonts w:asciiTheme="minorHAnsi" w:hAnsiTheme="minorHAnsi" w:cs="Calibri"/>
          <w:sz w:val="22"/>
          <w:szCs w:val="22"/>
        </w:rPr>
      </w:pPr>
      <w:r w:rsidRPr="00AE58CF">
        <w:rPr>
          <w:rFonts w:asciiTheme="minorHAnsi" w:hAnsiTheme="minorHAnsi" w:cs="Calibri"/>
          <w:sz w:val="22"/>
          <w:szCs w:val="22"/>
        </w:rPr>
        <w:t xml:space="preserve">Partner schools staff are deeply committed to developing understanding of successful teaching learning strategies across Stage 3 and Stage 4 curriculum through exchange of data. </w:t>
      </w:r>
    </w:p>
    <w:p w:rsidR="00CF1CBC" w:rsidRPr="00AE58CF" w:rsidRDefault="00CF1CBC" w:rsidP="00CF1CBC">
      <w:pPr>
        <w:pStyle w:val="Default"/>
        <w:numPr>
          <w:ilvl w:val="0"/>
          <w:numId w:val="24"/>
        </w:numPr>
        <w:rPr>
          <w:rFonts w:asciiTheme="minorHAnsi" w:hAnsiTheme="minorHAnsi" w:cs="Calibri"/>
          <w:sz w:val="22"/>
          <w:szCs w:val="22"/>
        </w:rPr>
      </w:pPr>
      <w:r w:rsidRPr="00AE58CF">
        <w:rPr>
          <w:rFonts w:asciiTheme="minorHAnsi" w:hAnsiTheme="minorHAnsi" w:cs="Calibri"/>
          <w:sz w:val="22"/>
          <w:szCs w:val="22"/>
        </w:rPr>
        <w:t xml:space="preserve">Complementary opportunity exists for the development of staff and student welfare activities and professional learning practices. </w:t>
      </w:r>
    </w:p>
    <w:p w:rsidR="00CF1CBC" w:rsidRPr="00AE58CF" w:rsidRDefault="00CF1CBC" w:rsidP="00CF1CBC">
      <w:pPr>
        <w:pStyle w:val="Default"/>
        <w:rPr>
          <w:rFonts w:asciiTheme="minorHAnsi" w:hAnsiTheme="minorHAnsi" w:cs="Calibri"/>
          <w:sz w:val="22"/>
          <w:szCs w:val="22"/>
        </w:rPr>
      </w:pPr>
    </w:p>
    <w:p w:rsidR="00CF1CBC" w:rsidRPr="00AE58CF" w:rsidRDefault="00CF1CBC" w:rsidP="00CF1CBC">
      <w:pPr>
        <w:pStyle w:val="Default"/>
        <w:numPr>
          <w:ilvl w:val="0"/>
          <w:numId w:val="24"/>
        </w:numPr>
        <w:spacing w:after="150"/>
        <w:rPr>
          <w:rFonts w:asciiTheme="minorHAnsi" w:hAnsiTheme="minorHAnsi" w:cs="Calibri"/>
          <w:sz w:val="22"/>
          <w:szCs w:val="22"/>
        </w:rPr>
      </w:pPr>
      <w:r w:rsidRPr="00AE58CF">
        <w:rPr>
          <w:rFonts w:asciiTheme="minorHAnsi" w:hAnsiTheme="minorHAnsi" w:cs="Calibri"/>
          <w:sz w:val="22"/>
          <w:szCs w:val="22"/>
        </w:rPr>
        <w:t xml:space="preserve">Joint development of the language of numeracy (metalanguage) across Stage 3 and Stage 4 </w:t>
      </w:r>
    </w:p>
    <w:p w:rsidR="00CF1CBC" w:rsidRPr="00AE58CF" w:rsidRDefault="00CF1CBC" w:rsidP="00CF1CBC">
      <w:pPr>
        <w:pStyle w:val="Default"/>
        <w:numPr>
          <w:ilvl w:val="0"/>
          <w:numId w:val="24"/>
        </w:numPr>
        <w:spacing w:after="150"/>
        <w:rPr>
          <w:rFonts w:asciiTheme="minorHAnsi" w:hAnsiTheme="minorHAnsi" w:cs="Calibri"/>
          <w:sz w:val="22"/>
          <w:szCs w:val="22"/>
        </w:rPr>
      </w:pPr>
      <w:r w:rsidRPr="00AE58CF">
        <w:rPr>
          <w:rFonts w:asciiTheme="minorHAnsi" w:hAnsiTheme="minorHAnsi" w:cs="Calibri"/>
          <w:sz w:val="22"/>
          <w:szCs w:val="22"/>
        </w:rPr>
        <w:t xml:space="preserve">Formation of collegiate networks based upon a clear vision and well defined implementation strategies </w:t>
      </w:r>
    </w:p>
    <w:p w:rsidR="00CF1CBC" w:rsidRPr="00AE58CF" w:rsidRDefault="00CF1CBC" w:rsidP="00CF1CBC">
      <w:pPr>
        <w:pStyle w:val="Default"/>
        <w:numPr>
          <w:ilvl w:val="0"/>
          <w:numId w:val="24"/>
        </w:numPr>
        <w:rPr>
          <w:rFonts w:asciiTheme="minorHAnsi" w:hAnsiTheme="minorHAnsi" w:cs="Calibri"/>
          <w:sz w:val="22"/>
          <w:szCs w:val="22"/>
        </w:rPr>
      </w:pPr>
      <w:r w:rsidRPr="00AE58CF">
        <w:rPr>
          <w:rFonts w:asciiTheme="minorHAnsi" w:hAnsiTheme="minorHAnsi" w:cs="Calibri"/>
          <w:sz w:val="22"/>
          <w:szCs w:val="22"/>
        </w:rPr>
        <w:t xml:space="preserve">Agreement to measure collective data against regional targets and the compilation of a joint evaluation as part </w:t>
      </w:r>
    </w:p>
    <w:p w:rsidR="004F2211" w:rsidRPr="00F87176" w:rsidRDefault="004F2211" w:rsidP="00EB32A6">
      <w:pPr>
        <w:pStyle w:val="ASRHeading4"/>
        <w:rPr>
          <w:rFonts w:asciiTheme="minorHAnsi" w:hAnsiTheme="minorHAnsi"/>
        </w:rPr>
      </w:pPr>
    </w:p>
    <w:p w:rsidR="00226EB5" w:rsidRDefault="00226EB5" w:rsidP="00CA44F4">
      <w:pPr>
        <w:pStyle w:val="ASRHeading3"/>
        <w:jc w:val="center"/>
        <w:outlineLvl w:val="2"/>
        <w:rPr>
          <w:rFonts w:asciiTheme="minorHAnsi" w:hAnsiTheme="minorHAnsi"/>
          <w:sz w:val="28"/>
          <w:szCs w:val="28"/>
        </w:rPr>
      </w:pPr>
      <w:bookmarkStart w:id="43" w:name="_Toc306703608"/>
    </w:p>
    <w:p w:rsidR="00226EB5" w:rsidRDefault="00226EB5" w:rsidP="00CA44F4">
      <w:pPr>
        <w:pStyle w:val="ASRHeading3"/>
        <w:jc w:val="center"/>
        <w:outlineLvl w:val="2"/>
        <w:rPr>
          <w:rFonts w:asciiTheme="minorHAnsi" w:hAnsiTheme="minorHAnsi"/>
          <w:sz w:val="28"/>
          <w:szCs w:val="28"/>
        </w:rPr>
      </w:pPr>
    </w:p>
    <w:p w:rsidR="00456B7F" w:rsidRDefault="00456B7F" w:rsidP="00CA44F4">
      <w:pPr>
        <w:pStyle w:val="ASRHeading3"/>
        <w:jc w:val="center"/>
        <w:outlineLvl w:val="2"/>
        <w:rPr>
          <w:rFonts w:asciiTheme="minorHAnsi" w:hAnsiTheme="minorHAnsi"/>
          <w:sz w:val="28"/>
          <w:szCs w:val="28"/>
        </w:rPr>
      </w:pPr>
    </w:p>
    <w:p w:rsidR="009974E3" w:rsidRPr="00C55D6A" w:rsidRDefault="009974E3" w:rsidP="00CA44F4">
      <w:pPr>
        <w:pStyle w:val="ASRHeading3"/>
        <w:jc w:val="center"/>
        <w:outlineLvl w:val="2"/>
        <w:rPr>
          <w:rFonts w:asciiTheme="minorHAnsi" w:hAnsiTheme="minorHAnsi"/>
          <w:sz w:val="28"/>
          <w:szCs w:val="28"/>
        </w:rPr>
      </w:pPr>
      <w:r w:rsidRPr="00C55D6A">
        <w:rPr>
          <w:rFonts w:asciiTheme="minorHAnsi" w:hAnsiTheme="minorHAnsi"/>
          <w:sz w:val="28"/>
          <w:szCs w:val="28"/>
        </w:rPr>
        <w:t>Curriculum</w:t>
      </w:r>
      <w:bookmarkEnd w:id="43"/>
    </w:p>
    <w:p w:rsidR="00171218" w:rsidRDefault="00171218" w:rsidP="00171218">
      <w:pPr>
        <w:pStyle w:val="Default"/>
        <w:rPr>
          <w:rFonts w:asciiTheme="minorHAnsi" w:hAnsiTheme="minorHAnsi"/>
          <w:b/>
          <w:bCs/>
        </w:rPr>
      </w:pPr>
      <w:bookmarkStart w:id="44" w:name="_Toc306703610"/>
      <w:r w:rsidRPr="00171218">
        <w:rPr>
          <w:rFonts w:asciiTheme="minorHAnsi" w:hAnsiTheme="minorHAnsi"/>
          <w:b/>
          <w:bCs/>
        </w:rPr>
        <w:t xml:space="preserve">Writing </w:t>
      </w:r>
    </w:p>
    <w:p w:rsidR="00171218" w:rsidRPr="00171218" w:rsidRDefault="00171218" w:rsidP="00171218">
      <w:pPr>
        <w:pStyle w:val="Default"/>
        <w:rPr>
          <w:rFonts w:asciiTheme="minorHAnsi" w:hAnsiTheme="minorHAnsi"/>
        </w:rPr>
      </w:pPr>
    </w:p>
    <w:p w:rsidR="00171218" w:rsidRDefault="00171218" w:rsidP="00171218">
      <w:pPr>
        <w:pStyle w:val="Default"/>
        <w:rPr>
          <w:rFonts w:asciiTheme="minorHAnsi" w:hAnsiTheme="minorHAnsi"/>
          <w:b/>
          <w:bCs/>
          <w:sz w:val="22"/>
          <w:szCs w:val="22"/>
        </w:rPr>
      </w:pPr>
      <w:r w:rsidRPr="00CB36D3">
        <w:rPr>
          <w:rFonts w:asciiTheme="minorHAnsi" w:hAnsiTheme="minorHAnsi"/>
          <w:b/>
          <w:bCs/>
          <w:sz w:val="22"/>
          <w:szCs w:val="22"/>
        </w:rPr>
        <w:t xml:space="preserve">Background </w:t>
      </w:r>
    </w:p>
    <w:p w:rsidR="00171218" w:rsidRPr="00CB36D3" w:rsidRDefault="00171218" w:rsidP="00171218">
      <w:pPr>
        <w:pStyle w:val="Default"/>
        <w:rPr>
          <w:rFonts w:asciiTheme="minorHAnsi" w:hAnsiTheme="minorHAnsi"/>
          <w:sz w:val="22"/>
          <w:szCs w:val="22"/>
        </w:rPr>
      </w:pPr>
    </w:p>
    <w:p w:rsidR="00171218" w:rsidRDefault="00226EB5" w:rsidP="00171218">
      <w:pPr>
        <w:pStyle w:val="Default"/>
        <w:rPr>
          <w:rFonts w:asciiTheme="minorHAnsi" w:hAnsiTheme="minorHAnsi"/>
          <w:sz w:val="22"/>
          <w:szCs w:val="22"/>
        </w:rPr>
      </w:pPr>
      <w:r>
        <w:rPr>
          <w:rFonts w:asciiTheme="minorHAnsi" w:hAnsiTheme="minorHAnsi"/>
          <w:sz w:val="22"/>
          <w:szCs w:val="22"/>
        </w:rPr>
        <w:t xml:space="preserve">Our </w:t>
      </w:r>
      <w:r w:rsidR="00171218" w:rsidRPr="00CB36D3">
        <w:rPr>
          <w:rFonts w:asciiTheme="minorHAnsi" w:hAnsiTheme="minorHAnsi"/>
          <w:sz w:val="22"/>
          <w:szCs w:val="22"/>
        </w:rPr>
        <w:t xml:space="preserve"> NAPLAN data has indicated that Writing is an area </w:t>
      </w:r>
      <w:r>
        <w:rPr>
          <w:rFonts w:asciiTheme="minorHAnsi" w:hAnsiTheme="minorHAnsi"/>
          <w:sz w:val="22"/>
          <w:szCs w:val="22"/>
        </w:rPr>
        <w:t>that needs development at Blackheath</w:t>
      </w:r>
      <w:r w:rsidR="00171218" w:rsidRPr="00CB36D3">
        <w:rPr>
          <w:rFonts w:asciiTheme="minorHAnsi" w:hAnsiTheme="minorHAnsi"/>
          <w:sz w:val="22"/>
          <w:szCs w:val="22"/>
        </w:rPr>
        <w:t xml:space="preserve"> Public School. When given the opportunity to work with a Regional Best Start Literacy and Numeracy consultant we chose Writing as our target area. </w:t>
      </w:r>
    </w:p>
    <w:p w:rsidR="00171218" w:rsidRDefault="00171218" w:rsidP="00171218">
      <w:pPr>
        <w:pStyle w:val="Default"/>
        <w:rPr>
          <w:rFonts w:asciiTheme="minorHAnsi" w:hAnsiTheme="minorHAnsi"/>
          <w:sz w:val="22"/>
          <w:szCs w:val="22"/>
        </w:rPr>
      </w:pPr>
    </w:p>
    <w:p w:rsidR="00171218" w:rsidRDefault="00171218" w:rsidP="00171218">
      <w:pPr>
        <w:pStyle w:val="Default"/>
        <w:rPr>
          <w:rFonts w:asciiTheme="minorHAnsi" w:hAnsiTheme="minorHAnsi"/>
          <w:b/>
          <w:bCs/>
          <w:sz w:val="22"/>
          <w:szCs w:val="22"/>
        </w:rPr>
      </w:pPr>
      <w:r w:rsidRPr="00CB36D3">
        <w:rPr>
          <w:rFonts w:asciiTheme="minorHAnsi" w:hAnsiTheme="minorHAnsi"/>
          <w:b/>
          <w:bCs/>
          <w:sz w:val="22"/>
          <w:szCs w:val="22"/>
        </w:rPr>
        <w:t>Findings and conclusions</w:t>
      </w:r>
    </w:p>
    <w:p w:rsidR="00171218" w:rsidRPr="00CB36D3" w:rsidRDefault="00171218" w:rsidP="00171218">
      <w:pPr>
        <w:pStyle w:val="Default"/>
        <w:rPr>
          <w:rFonts w:asciiTheme="minorHAnsi" w:hAnsiTheme="minorHAnsi"/>
          <w:sz w:val="22"/>
          <w:szCs w:val="22"/>
        </w:rPr>
      </w:pPr>
      <w:r w:rsidRPr="00CB36D3">
        <w:rPr>
          <w:rFonts w:asciiTheme="minorHAnsi" w:hAnsiTheme="minorHAnsi"/>
          <w:b/>
          <w:bCs/>
          <w:sz w:val="22"/>
          <w:szCs w:val="22"/>
        </w:rPr>
        <w:t xml:space="preserve"> </w:t>
      </w:r>
    </w:p>
    <w:p w:rsidR="00171218" w:rsidRPr="00CB36D3" w:rsidRDefault="00171218" w:rsidP="00171218">
      <w:pPr>
        <w:pStyle w:val="Default"/>
        <w:rPr>
          <w:rFonts w:asciiTheme="minorHAnsi" w:hAnsiTheme="minorHAnsi"/>
          <w:sz w:val="22"/>
          <w:szCs w:val="22"/>
        </w:rPr>
      </w:pPr>
      <w:r w:rsidRPr="00CB36D3">
        <w:rPr>
          <w:rFonts w:asciiTheme="minorHAnsi" w:hAnsiTheme="minorHAnsi"/>
          <w:sz w:val="22"/>
          <w:szCs w:val="22"/>
        </w:rPr>
        <w:t xml:space="preserve">Analysis of our most recent NAPLAN data indicated needs in the areas of text structure, in particularly paragraphing and punctuation. Teachers worked with the consultant to engage the students in the sentence a day program utilizing the interactive whiteboards. Text structure was targeted through whole class lessons with an explicit focus on the parts of the text and their sequence. The majority of students showed immediate improvements in sentence structure but need more time and emphasis on paragraphing to embed this knowledge. </w:t>
      </w:r>
    </w:p>
    <w:p w:rsidR="00171218" w:rsidRPr="00CB36D3" w:rsidRDefault="00171218" w:rsidP="00171218">
      <w:pPr>
        <w:pStyle w:val="Default"/>
        <w:rPr>
          <w:rFonts w:asciiTheme="minorHAnsi" w:hAnsiTheme="minorHAnsi"/>
          <w:sz w:val="22"/>
          <w:szCs w:val="22"/>
        </w:rPr>
      </w:pPr>
    </w:p>
    <w:p w:rsidR="00171218" w:rsidRDefault="00171218" w:rsidP="00171218">
      <w:pPr>
        <w:pStyle w:val="Default"/>
        <w:rPr>
          <w:rFonts w:asciiTheme="minorHAnsi" w:hAnsiTheme="minorHAnsi"/>
          <w:b/>
          <w:bCs/>
          <w:sz w:val="22"/>
          <w:szCs w:val="22"/>
        </w:rPr>
      </w:pPr>
      <w:r w:rsidRPr="00CB36D3">
        <w:rPr>
          <w:rFonts w:asciiTheme="minorHAnsi" w:hAnsiTheme="minorHAnsi"/>
          <w:b/>
          <w:bCs/>
          <w:sz w:val="22"/>
          <w:szCs w:val="22"/>
        </w:rPr>
        <w:t xml:space="preserve">Future directions </w:t>
      </w:r>
    </w:p>
    <w:p w:rsidR="00171218" w:rsidRPr="00CB36D3" w:rsidRDefault="00171218" w:rsidP="00171218">
      <w:pPr>
        <w:pStyle w:val="Default"/>
        <w:rPr>
          <w:rFonts w:asciiTheme="minorHAnsi" w:hAnsiTheme="minorHAnsi"/>
          <w:sz w:val="22"/>
          <w:szCs w:val="22"/>
        </w:rPr>
      </w:pPr>
    </w:p>
    <w:p w:rsidR="00171218" w:rsidRPr="00CB36D3" w:rsidRDefault="00171218" w:rsidP="00171218">
      <w:r w:rsidRPr="00CB36D3">
        <w:t>Simple punctuation and grammar as well as spelling require ongoing explicit teaching in addition to text structure. The Accelerated Literacy program will address these components and we expect to</w:t>
      </w:r>
      <w:r w:rsidR="00226EB5">
        <w:t xml:space="preserve"> see an</w:t>
      </w:r>
      <w:r w:rsidRPr="00CB36D3">
        <w:t xml:space="preserve"> improvement in NAPLAN writing results in the next two years as that program is developed</w:t>
      </w:r>
      <w:r w:rsidR="00226EB5">
        <w:t>.</w:t>
      </w:r>
    </w:p>
    <w:p w:rsidR="00171218" w:rsidRPr="00F87176" w:rsidRDefault="00171218" w:rsidP="00FD59D8">
      <w:pPr>
        <w:pStyle w:val="ASRHeading2"/>
        <w:outlineLvl w:val="1"/>
      </w:pPr>
      <w:bookmarkStart w:id="45" w:name="_Toc210703322"/>
      <w:bookmarkStart w:id="46" w:name="_Toc210703403"/>
      <w:bookmarkStart w:id="47" w:name="_Toc210703669"/>
      <w:bookmarkStart w:id="48" w:name="_Toc306703611"/>
      <w:bookmarkEnd w:id="44"/>
    </w:p>
    <w:p w:rsidR="009974E3" w:rsidRPr="00F87176" w:rsidRDefault="009974E3" w:rsidP="00CA44F4">
      <w:pPr>
        <w:pStyle w:val="ASRHeading2"/>
        <w:jc w:val="center"/>
        <w:outlineLvl w:val="1"/>
      </w:pPr>
      <w:r w:rsidRPr="00F87176">
        <w:t>Professional learning</w:t>
      </w:r>
      <w:bookmarkEnd w:id="45"/>
      <w:bookmarkEnd w:id="46"/>
      <w:bookmarkEnd w:id="47"/>
      <w:bookmarkEnd w:id="48"/>
    </w:p>
    <w:p w:rsidR="00AB5E26" w:rsidRPr="00226EB5" w:rsidRDefault="00AB5E26" w:rsidP="00AB5E26">
      <w:pPr>
        <w:pStyle w:val="ASRBodyText"/>
        <w:rPr>
          <w:rFonts w:cs="Arial"/>
        </w:rPr>
      </w:pPr>
      <w:r w:rsidRPr="00226EB5">
        <w:rPr>
          <w:rFonts w:cs="Arial"/>
        </w:rPr>
        <w:t>All staff were encouraged to, and participated in, a wide variety of professional learning activities. The main areas for Professional Learning aligned with 2011 targets and the schools management plan</w:t>
      </w:r>
    </w:p>
    <w:p w:rsidR="00AB5E26" w:rsidRPr="00226EB5" w:rsidRDefault="00AB5E26" w:rsidP="00AB5E26">
      <w:pPr>
        <w:pStyle w:val="ASRBodyText"/>
        <w:rPr>
          <w:rFonts w:cs="Arial"/>
        </w:rPr>
      </w:pPr>
      <w:r w:rsidRPr="00226EB5">
        <w:rPr>
          <w:rFonts w:cs="Arial"/>
        </w:rPr>
        <w:t xml:space="preserve">Average expenditure on teacher professional learning was $1604 per staff member.  School support staff attended professional learning </w:t>
      </w:r>
      <w:r w:rsidRPr="00226EB5">
        <w:rPr>
          <w:rFonts w:cs="Arial"/>
        </w:rPr>
        <w:lastRenderedPageBreak/>
        <w:t>sessions dealing with student welfare, catering for the needs of the students they support.</w:t>
      </w:r>
    </w:p>
    <w:p w:rsidR="00AB5E26" w:rsidRPr="00F87176" w:rsidRDefault="00AB5E26" w:rsidP="00FD59D8">
      <w:pPr>
        <w:pStyle w:val="ASRHeading2"/>
        <w:outlineLvl w:val="1"/>
      </w:pPr>
    </w:p>
    <w:p w:rsidR="009974E3" w:rsidRPr="00F87176" w:rsidRDefault="00D016EF" w:rsidP="00453C5C">
      <w:pPr>
        <w:pStyle w:val="ASRHeading1"/>
      </w:pPr>
      <w:bookmarkStart w:id="49" w:name="_Toc210703323"/>
      <w:bookmarkStart w:id="50" w:name="_Toc210703404"/>
      <w:bookmarkStart w:id="51" w:name="_Toc210703670"/>
      <w:bookmarkStart w:id="52" w:name="_Toc210703827"/>
      <w:bookmarkStart w:id="53" w:name="_Toc212261557"/>
      <w:bookmarkStart w:id="54" w:name="_Toc212261683"/>
      <w:bookmarkStart w:id="55" w:name="_Toc306703612"/>
      <w:r w:rsidRPr="00F87176">
        <w:t>School planning 2012—</w:t>
      </w:r>
      <w:r w:rsidR="009974E3" w:rsidRPr="00F87176">
        <w:t>20</w:t>
      </w:r>
      <w:bookmarkEnd w:id="49"/>
      <w:bookmarkEnd w:id="50"/>
      <w:bookmarkEnd w:id="51"/>
      <w:bookmarkEnd w:id="52"/>
      <w:bookmarkEnd w:id="53"/>
      <w:bookmarkEnd w:id="54"/>
      <w:r w:rsidR="009974E3" w:rsidRPr="00F87176">
        <w:t>14</w:t>
      </w:r>
      <w:bookmarkEnd w:id="55"/>
    </w:p>
    <w:p w:rsidR="00C24C7C" w:rsidRDefault="00F00F80" w:rsidP="00CA7AB6">
      <w:pPr>
        <w:pStyle w:val="ASRBodyText"/>
      </w:pPr>
      <w:bookmarkStart w:id="56" w:name="_Toc212261684"/>
      <w:bookmarkStart w:id="57" w:name="_Toc212261558"/>
      <w:bookmarkStart w:id="58" w:name="_Toc210703828"/>
      <w:bookmarkStart w:id="59" w:name="_Toc210703671"/>
      <w:bookmarkStart w:id="60" w:name="_Toc210703405"/>
      <w:bookmarkStart w:id="61" w:name="_Toc210703324"/>
      <w:r w:rsidRPr="00F87176">
        <w:t>The school planning policy provides direction for the preparation and implementation of school plans including the identification of priority areas, intended outcomes and targets that are consistent with the NSW State Plan and the Department’s planning documents.</w:t>
      </w:r>
      <w:bookmarkStart w:id="62" w:name="_Toc306703613"/>
    </w:p>
    <w:p w:rsidR="00F00F80" w:rsidRPr="00F87176" w:rsidRDefault="00F00F80" w:rsidP="00FD59D8">
      <w:pPr>
        <w:pStyle w:val="ASRHeading2"/>
        <w:outlineLvl w:val="1"/>
      </w:pPr>
      <w:r w:rsidRPr="00F87176">
        <w:t>School priority 1</w:t>
      </w:r>
      <w:bookmarkEnd w:id="62"/>
      <w:r w:rsidR="00CA44F4">
        <w:t xml:space="preserve"> Literacy</w:t>
      </w:r>
    </w:p>
    <w:p w:rsidR="00F00F80" w:rsidRPr="00F87176" w:rsidRDefault="00F00F80" w:rsidP="00FD59D8">
      <w:pPr>
        <w:pStyle w:val="ASRHeading3"/>
        <w:outlineLvl w:val="2"/>
        <w:rPr>
          <w:rFonts w:asciiTheme="minorHAnsi" w:hAnsiTheme="minorHAnsi"/>
        </w:rPr>
      </w:pPr>
      <w:bookmarkStart w:id="63" w:name="_Toc306703614"/>
      <w:r w:rsidRPr="00F87176">
        <w:rPr>
          <w:rFonts w:asciiTheme="minorHAnsi" w:hAnsiTheme="minorHAnsi"/>
        </w:rPr>
        <w:t>Outcome for 2012–2014</w:t>
      </w:r>
      <w:bookmarkEnd w:id="63"/>
    </w:p>
    <w:p w:rsidR="00E711E8" w:rsidRDefault="00E711E8" w:rsidP="00E711E8">
      <w:r>
        <w:t>Year 3 Spelling: Increase students performing in the proficient range from 34% to 50% by 2014.</w:t>
      </w:r>
    </w:p>
    <w:p w:rsidR="00E711E8" w:rsidRDefault="00E711E8" w:rsidP="00E711E8">
      <w:r>
        <w:t>Year 5 Spelling: Increase students performing in the proficient range from 28% to 40% by 2014.</w:t>
      </w:r>
    </w:p>
    <w:p w:rsidR="00E711E8" w:rsidRDefault="00E711E8" w:rsidP="00E711E8">
      <w:r>
        <w:t xml:space="preserve">Year 3 Writing: Increase students performing in the proficient range from 50% to 60% by 2014. </w:t>
      </w:r>
    </w:p>
    <w:p w:rsidR="00E711E8" w:rsidRDefault="00E711E8" w:rsidP="00E711E8">
      <w:r>
        <w:t>Year 5 Writing: Increase students performing in the proficient range from 21% to 30% by 2014.</w:t>
      </w:r>
    </w:p>
    <w:p w:rsidR="00F00F80" w:rsidRDefault="00F00F80" w:rsidP="00C4230E">
      <w:pPr>
        <w:pStyle w:val="ASRHeading4"/>
        <w:rPr>
          <w:rFonts w:asciiTheme="minorHAnsi" w:hAnsiTheme="minorHAnsi"/>
        </w:rPr>
      </w:pPr>
      <w:r w:rsidRPr="00F87176">
        <w:rPr>
          <w:rFonts w:asciiTheme="minorHAnsi" w:hAnsiTheme="minorHAnsi"/>
        </w:rPr>
        <w:t>2012 Targets to achieve this outcome include:</w:t>
      </w:r>
    </w:p>
    <w:p w:rsidR="00BA58C9" w:rsidRPr="00F87176" w:rsidRDefault="00BA58C9" w:rsidP="00C4230E">
      <w:pPr>
        <w:pStyle w:val="ASRHeading4"/>
        <w:rPr>
          <w:rFonts w:asciiTheme="minorHAnsi" w:hAnsiTheme="minorHAnsi"/>
        </w:rPr>
      </w:pPr>
    </w:p>
    <w:p w:rsidR="00F00F80" w:rsidRPr="00F87176" w:rsidRDefault="00E711E8" w:rsidP="00340D4F">
      <w:pPr>
        <w:pStyle w:val="ASRListBullet"/>
      </w:pPr>
      <w:r>
        <w:t>Year 3 Spelling: Increase students performing in the</w:t>
      </w:r>
      <w:r w:rsidR="00BA58C9">
        <w:t xml:space="preserve"> proficient range from 34% to 38</w:t>
      </w:r>
      <w:r>
        <w:t>%</w:t>
      </w:r>
      <w:r w:rsidR="00456B7F">
        <w:t>.</w:t>
      </w:r>
      <w:r>
        <w:t xml:space="preserve"> </w:t>
      </w:r>
      <w:r w:rsidR="00830C48" w:rsidRPr="00F87176">
        <w:t xml:space="preserve"> </w:t>
      </w:r>
    </w:p>
    <w:p w:rsidR="00E711E8" w:rsidRDefault="00E711E8" w:rsidP="00E711E8">
      <w:pPr>
        <w:pStyle w:val="ASRListBullet"/>
      </w:pPr>
      <w:r>
        <w:t>Year 5 Spelling: Increase students performing in the</w:t>
      </w:r>
      <w:r w:rsidR="00BA58C9">
        <w:t xml:space="preserve"> proficient range from 28% to 33</w:t>
      </w:r>
      <w:r>
        <w:t>%</w:t>
      </w:r>
      <w:r w:rsidR="00BA58C9">
        <w:t>.</w:t>
      </w:r>
      <w:r>
        <w:t xml:space="preserve"> </w:t>
      </w:r>
    </w:p>
    <w:p w:rsidR="00E711E8" w:rsidRDefault="00E711E8" w:rsidP="00E711E8">
      <w:pPr>
        <w:pStyle w:val="ASRListBullet"/>
      </w:pPr>
      <w:r>
        <w:t>Year 3 Writing: Increase students performing in the proficie</w:t>
      </w:r>
      <w:r w:rsidR="00BA58C9">
        <w:t>nt range from 50% to 54%</w:t>
      </w:r>
      <w:r>
        <w:t xml:space="preserve">. </w:t>
      </w:r>
    </w:p>
    <w:p w:rsidR="00E711E8" w:rsidRDefault="00E711E8" w:rsidP="00E711E8">
      <w:pPr>
        <w:pStyle w:val="ASRListBullet"/>
      </w:pPr>
      <w:r>
        <w:t>Year 5 Writing: Increase students performing in the</w:t>
      </w:r>
      <w:r w:rsidR="00BA58C9">
        <w:t xml:space="preserve"> proficient range from 21% to 26%</w:t>
      </w:r>
      <w:r>
        <w:t>.</w:t>
      </w:r>
    </w:p>
    <w:p w:rsidR="00E711E8" w:rsidRDefault="00E711E8" w:rsidP="00340D4F">
      <w:pPr>
        <w:pStyle w:val="ASRHeading4"/>
        <w:rPr>
          <w:rFonts w:asciiTheme="minorHAnsi" w:hAnsiTheme="minorHAnsi"/>
        </w:rPr>
      </w:pPr>
    </w:p>
    <w:p w:rsidR="00CA7AB6" w:rsidRDefault="00CA7AB6" w:rsidP="00340D4F">
      <w:pPr>
        <w:pStyle w:val="ASRHeading4"/>
        <w:rPr>
          <w:rFonts w:asciiTheme="minorHAnsi" w:hAnsiTheme="minorHAnsi"/>
        </w:rPr>
      </w:pPr>
    </w:p>
    <w:p w:rsidR="00F00F80" w:rsidRPr="00F87176" w:rsidRDefault="00F00F80" w:rsidP="00340D4F">
      <w:pPr>
        <w:pStyle w:val="ASRHeading4"/>
        <w:rPr>
          <w:rFonts w:asciiTheme="minorHAnsi" w:hAnsiTheme="minorHAnsi"/>
        </w:rPr>
      </w:pPr>
      <w:r w:rsidRPr="00F87176">
        <w:rPr>
          <w:rFonts w:asciiTheme="minorHAnsi" w:hAnsiTheme="minorHAnsi"/>
        </w:rPr>
        <w:t>Strategies to achieve these targets include:</w:t>
      </w:r>
    </w:p>
    <w:p w:rsidR="00F00F80" w:rsidRPr="00FC12A8" w:rsidRDefault="00C24C7C" w:rsidP="00C24C7C">
      <w:pPr>
        <w:pStyle w:val="ASRListBullet"/>
        <w:rPr>
          <w:rStyle w:val="A11"/>
          <w:rFonts w:asciiTheme="minorHAnsi" w:hAnsiTheme="minorHAnsi" w:cstheme="minorBidi"/>
          <w:color w:val="auto"/>
        </w:rPr>
      </w:pPr>
      <w:bookmarkStart w:id="64" w:name="_Toc306703615"/>
      <w:r w:rsidRPr="00FC12A8">
        <w:rPr>
          <w:rStyle w:val="A11"/>
          <w:rFonts w:asciiTheme="minorHAnsi" w:hAnsiTheme="minorHAnsi" w:cs="Tahoma"/>
        </w:rPr>
        <w:t xml:space="preserve">Literacy Team Leader to co-ordinate and support teachers in data analysis, mentor teachers, team teaching and lead the </w:t>
      </w:r>
      <w:r w:rsidRPr="00FC12A8">
        <w:rPr>
          <w:rStyle w:val="A11"/>
          <w:rFonts w:asciiTheme="minorHAnsi" w:hAnsiTheme="minorHAnsi" w:cs="Tahoma"/>
        </w:rPr>
        <w:lastRenderedPageBreak/>
        <w:t>development and implementation of the school’s literacy plan</w:t>
      </w:r>
      <w:bookmarkEnd w:id="64"/>
      <w:r w:rsidRPr="00FC12A8">
        <w:rPr>
          <w:rStyle w:val="A11"/>
          <w:rFonts w:asciiTheme="minorHAnsi" w:hAnsiTheme="minorHAnsi" w:cs="Tahoma"/>
        </w:rPr>
        <w:t>.</w:t>
      </w:r>
    </w:p>
    <w:p w:rsidR="00C24C7C" w:rsidRPr="00FC12A8" w:rsidRDefault="00C24C7C" w:rsidP="00C24C7C">
      <w:pPr>
        <w:pStyle w:val="ASRListBullet"/>
      </w:pPr>
      <w:r w:rsidRPr="00FC12A8">
        <w:rPr>
          <w:rFonts w:cs="Tahoma"/>
          <w:lang w:val="en-AU"/>
        </w:rPr>
        <w:t>Implementation of staff professional learning K-6 that will increase teacher capacity to identify, address and implement quality teaching in accelerated literacy.</w:t>
      </w:r>
    </w:p>
    <w:p w:rsidR="00C24C7C" w:rsidRPr="00FC12A8" w:rsidRDefault="00C24C7C" w:rsidP="00C24C7C">
      <w:pPr>
        <w:pStyle w:val="ASRListBullet"/>
      </w:pPr>
      <w:r w:rsidRPr="00FC12A8">
        <w:t xml:space="preserve">Provision of parent education workshops by teachers in reading, spelling and writing throughout the year </w:t>
      </w:r>
    </w:p>
    <w:p w:rsidR="00C24C7C" w:rsidRPr="00FC12A8" w:rsidRDefault="00C24C7C" w:rsidP="00C24C7C">
      <w:pPr>
        <w:pStyle w:val="ASRListBullet"/>
      </w:pPr>
      <w:r w:rsidRPr="00FC12A8">
        <w:t xml:space="preserve">Develop and implement the School Literacy Policy and Scope &amp; Sequences in line with the accelerated Literacy strategies. </w:t>
      </w:r>
    </w:p>
    <w:p w:rsidR="00C24C7C" w:rsidRDefault="00C24C7C" w:rsidP="00FD59D8">
      <w:pPr>
        <w:pStyle w:val="ASRHeading3"/>
        <w:outlineLvl w:val="2"/>
        <w:rPr>
          <w:rFonts w:asciiTheme="minorHAnsi" w:hAnsiTheme="minorHAnsi"/>
        </w:rPr>
      </w:pPr>
      <w:bookmarkStart w:id="65" w:name="_Toc306703616"/>
    </w:p>
    <w:p w:rsidR="00C24C7C" w:rsidRPr="00F87176" w:rsidRDefault="00C24C7C" w:rsidP="00C24C7C">
      <w:pPr>
        <w:pStyle w:val="ASRHeading2"/>
        <w:outlineLvl w:val="1"/>
      </w:pPr>
      <w:r>
        <w:t>School priority 2 Numeracy</w:t>
      </w:r>
    </w:p>
    <w:p w:rsidR="00F00F80" w:rsidRPr="00F87176" w:rsidRDefault="00F00F80" w:rsidP="00FD59D8">
      <w:pPr>
        <w:pStyle w:val="ASRHeading3"/>
        <w:outlineLvl w:val="2"/>
        <w:rPr>
          <w:rFonts w:asciiTheme="minorHAnsi" w:hAnsiTheme="minorHAnsi"/>
        </w:rPr>
      </w:pPr>
      <w:r w:rsidRPr="00F87176">
        <w:rPr>
          <w:rFonts w:asciiTheme="minorHAnsi" w:hAnsiTheme="minorHAnsi"/>
        </w:rPr>
        <w:t>Outcome for 2012–2014</w:t>
      </w:r>
      <w:bookmarkEnd w:id="65"/>
    </w:p>
    <w:p w:rsidR="00E711E8" w:rsidRDefault="00EB6778" w:rsidP="00930442">
      <w:pPr>
        <w:pStyle w:val="ListParagraph"/>
        <w:ind w:left="426"/>
      </w:pPr>
      <w:r>
        <w:t>Year 3 and Y</w:t>
      </w:r>
      <w:r w:rsidR="00456B7F">
        <w:t xml:space="preserve">ear </w:t>
      </w:r>
      <w:r w:rsidR="00E711E8">
        <w:t>5 Data, Measurement, Space and Geometry: Increase student</w:t>
      </w:r>
      <w:r w:rsidR="00930442">
        <w:t xml:space="preserve">s performing in the proficient </w:t>
      </w:r>
      <w:r w:rsidR="00E711E8">
        <w:t>range from 26% to 35%.</w:t>
      </w:r>
    </w:p>
    <w:p w:rsidR="00930442" w:rsidRDefault="00930442" w:rsidP="00930442">
      <w:pPr>
        <w:pStyle w:val="ListParagraph"/>
        <w:ind w:left="426"/>
      </w:pPr>
    </w:p>
    <w:p w:rsidR="00E711E8" w:rsidRDefault="00E711E8" w:rsidP="00930442">
      <w:pPr>
        <w:pStyle w:val="ListParagraph"/>
        <w:ind w:left="426"/>
      </w:pPr>
      <w:r>
        <w:t>Year 3 Number: Decrease students performing in the two bottom bands from 28% to 15% by 2014</w:t>
      </w:r>
    </w:p>
    <w:p w:rsidR="00F00F80" w:rsidRPr="00F87176" w:rsidRDefault="00E711E8" w:rsidP="00930442">
      <w:pPr>
        <w:pStyle w:val="ASRBodyText"/>
        <w:ind w:left="426"/>
      </w:pPr>
      <w:r>
        <w:t>Year 5 Number: Increase students performing in the proficient range from 26% to 35%.</w:t>
      </w:r>
    </w:p>
    <w:p w:rsidR="00F00F80" w:rsidRPr="00F87176" w:rsidRDefault="00F00F80" w:rsidP="00C4230E">
      <w:pPr>
        <w:pStyle w:val="ASRHeading4"/>
        <w:rPr>
          <w:rFonts w:asciiTheme="minorHAnsi" w:hAnsiTheme="minorHAnsi"/>
        </w:rPr>
      </w:pPr>
      <w:r w:rsidRPr="00F87176">
        <w:rPr>
          <w:rFonts w:asciiTheme="minorHAnsi" w:hAnsiTheme="minorHAnsi"/>
        </w:rPr>
        <w:t>2012 Targets to achieve this outcome include:</w:t>
      </w:r>
    </w:p>
    <w:p w:rsidR="00E711E8" w:rsidRDefault="00456B7F" w:rsidP="00E711E8">
      <w:pPr>
        <w:pStyle w:val="ListParagraph"/>
        <w:numPr>
          <w:ilvl w:val="0"/>
          <w:numId w:val="25"/>
        </w:numPr>
      </w:pPr>
      <w:r>
        <w:t xml:space="preserve">Year 3 and Year </w:t>
      </w:r>
      <w:r w:rsidR="00E711E8">
        <w:t xml:space="preserve">5 Data, Measurement, Space and Geometry: Increase students performing in the proficient                           </w:t>
      </w:r>
      <w:r w:rsidR="00930442">
        <w:t xml:space="preserve">            range from 26% to 29</w:t>
      </w:r>
      <w:r w:rsidR="00E711E8">
        <w:t>%.</w:t>
      </w:r>
    </w:p>
    <w:p w:rsidR="00E711E8" w:rsidRDefault="00E711E8" w:rsidP="00E711E8">
      <w:pPr>
        <w:pStyle w:val="ListParagraph"/>
        <w:numPr>
          <w:ilvl w:val="0"/>
          <w:numId w:val="25"/>
        </w:numPr>
      </w:pPr>
      <w:r>
        <w:t>Year 3 Number: Decrease students performing in the two bott</w:t>
      </w:r>
      <w:r w:rsidR="00930442">
        <w:t>om bands from 28% to 22%.</w:t>
      </w:r>
    </w:p>
    <w:p w:rsidR="00453C5C" w:rsidRPr="00C24C7C" w:rsidRDefault="00E711E8" w:rsidP="00340D4F">
      <w:pPr>
        <w:pStyle w:val="ASRBodyText"/>
        <w:numPr>
          <w:ilvl w:val="0"/>
          <w:numId w:val="25"/>
        </w:numPr>
      </w:pPr>
      <w:r>
        <w:t>Year 5 Number: Increase students performing in the</w:t>
      </w:r>
      <w:r w:rsidR="00930442">
        <w:t xml:space="preserve"> proficient range from 26% to 30</w:t>
      </w:r>
      <w:r>
        <w:t>%.</w:t>
      </w:r>
    </w:p>
    <w:p w:rsidR="00F00F80" w:rsidRPr="00AE58CF" w:rsidRDefault="00F00F80" w:rsidP="00340D4F">
      <w:pPr>
        <w:pStyle w:val="ASRHeading4"/>
        <w:rPr>
          <w:rFonts w:asciiTheme="minorHAnsi" w:hAnsiTheme="minorHAnsi"/>
        </w:rPr>
      </w:pPr>
      <w:r w:rsidRPr="00AE58CF">
        <w:rPr>
          <w:rFonts w:asciiTheme="minorHAnsi" w:hAnsiTheme="minorHAnsi"/>
        </w:rPr>
        <w:t>Strategies to achieve these targets include:</w:t>
      </w:r>
    </w:p>
    <w:p w:rsidR="00F00F80" w:rsidRPr="00AE58CF" w:rsidRDefault="00C24C7C" w:rsidP="00340D4F">
      <w:pPr>
        <w:pStyle w:val="ASRListBullet"/>
      </w:pPr>
      <w:r w:rsidRPr="00AE58CF">
        <w:t xml:space="preserve">Implementation of increased focus on the extension of high performing students in Numeracy in all classes </w:t>
      </w:r>
    </w:p>
    <w:p w:rsidR="00C24C7C" w:rsidRPr="00AE58CF" w:rsidRDefault="00C24C7C" w:rsidP="00C24C7C">
      <w:pPr>
        <w:pStyle w:val="ASRListBullet"/>
        <w:rPr>
          <w:b/>
        </w:rPr>
      </w:pPr>
      <w:bookmarkStart w:id="66" w:name="_Toc306703617"/>
      <w:r w:rsidRPr="00AE58CF">
        <w:lastRenderedPageBreak/>
        <w:t>Implementation of high quality professional learning program for staff in: assessment strategies and consistent teacher</w:t>
      </w:r>
      <w:r w:rsidR="0036056F">
        <w:t xml:space="preserve"> </w:t>
      </w:r>
      <w:r w:rsidR="00A60790" w:rsidRPr="00AE58CF">
        <w:t>judgment</w:t>
      </w:r>
      <w:r w:rsidR="00AE58CF">
        <w:t xml:space="preserve"> </w:t>
      </w:r>
      <w:r w:rsidRPr="00AE58CF">
        <w:t>,curriculum implementation of the number strand Count Me In Too and Counting On strategies syllabus content and DET support materials</w:t>
      </w:r>
    </w:p>
    <w:p w:rsidR="00C24C7C" w:rsidRPr="00AE58CF" w:rsidRDefault="00C24C7C" w:rsidP="00C24C7C">
      <w:pPr>
        <w:pStyle w:val="ASRListBullet"/>
        <w:rPr>
          <w:b/>
        </w:rPr>
      </w:pPr>
      <w:r w:rsidRPr="00AE58CF">
        <w:t xml:space="preserve">Implementation of parent numeracy information sessions. Regular support information in the school newsletter. </w:t>
      </w:r>
    </w:p>
    <w:p w:rsidR="00C24C7C" w:rsidRPr="00AE58CF" w:rsidRDefault="00C24C7C" w:rsidP="00C24C7C">
      <w:pPr>
        <w:pStyle w:val="ASRListBullet"/>
        <w:rPr>
          <w:b/>
        </w:rPr>
      </w:pPr>
      <w:r w:rsidRPr="00AE58CF">
        <w:t>Implementation of special numeracy days utilising parent helpers and support with a focus on:  Count me in too and TENS instruction and Newman’s Error Analysis.</w:t>
      </w:r>
    </w:p>
    <w:p w:rsidR="00C24C7C" w:rsidRPr="00C24C7C" w:rsidRDefault="00C24C7C" w:rsidP="00C24C7C">
      <w:pPr>
        <w:pStyle w:val="ASRListBullet"/>
        <w:numPr>
          <w:ilvl w:val="0"/>
          <w:numId w:val="0"/>
        </w:numPr>
        <w:ind w:left="720"/>
        <w:rPr>
          <w:b/>
        </w:rPr>
      </w:pPr>
    </w:p>
    <w:p w:rsidR="00E711E8" w:rsidRPr="00C24C7C" w:rsidRDefault="00E711E8" w:rsidP="00C24C7C">
      <w:pPr>
        <w:pStyle w:val="ASRListBullet"/>
        <w:numPr>
          <w:ilvl w:val="0"/>
          <w:numId w:val="0"/>
        </w:numPr>
        <w:ind w:left="720"/>
        <w:rPr>
          <w:b/>
          <w:sz w:val="28"/>
          <w:szCs w:val="28"/>
        </w:rPr>
      </w:pPr>
      <w:r w:rsidRPr="00C24C7C">
        <w:rPr>
          <w:b/>
          <w:sz w:val="28"/>
          <w:szCs w:val="28"/>
        </w:rPr>
        <w:t>School priority 3</w:t>
      </w:r>
      <w:r w:rsidR="00995019" w:rsidRPr="00C24C7C">
        <w:rPr>
          <w:b/>
          <w:sz w:val="28"/>
          <w:szCs w:val="28"/>
        </w:rPr>
        <w:t xml:space="preserve"> Curriculum</w:t>
      </w:r>
    </w:p>
    <w:p w:rsidR="00995019" w:rsidRPr="00F87176" w:rsidRDefault="00995019" w:rsidP="00995019">
      <w:pPr>
        <w:pStyle w:val="ASRHeading3"/>
        <w:outlineLvl w:val="2"/>
        <w:rPr>
          <w:rFonts w:asciiTheme="minorHAnsi" w:hAnsiTheme="minorHAnsi"/>
        </w:rPr>
      </w:pPr>
      <w:r w:rsidRPr="00F87176">
        <w:rPr>
          <w:rFonts w:asciiTheme="minorHAnsi" w:hAnsiTheme="minorHAnsi"/>
        </w:rPr>
        <w:t>Outcome for 2012–2014</w:t>
      </w:r>
    </w:p>
    <w:p w:rsidR="00995019" w:rsidRPr="007B1A62" w:rsidRDefault="00453C5C" w:rsidP="00E711E8">
      <w:pPr>
        <w:pStyle w:val="ASRHeading2"/>
        <w:outlineLvl w:val="1"/>
        <w:rPr>
          <w:b w:val="0"/>
        </w:rPr>
      </w:pPr>
      <w:r w:rsidRPr="007B1A62">
        <w:rPr>
          <w:b w:val="0"/>
          <w:sz w:val="22"/>
        </w:rPr>
        <w:t>Principal and executive, with strong regional and state office support, effectively lead the implementation of the new NSW syllabuses within school communities.</w:t>
      </w:r>
    </w:p>
    <w:p w:rsidR="00E711E8" w:rsidRPr="00F87176" w:rsidRDefault="00E711E8" w:rsidP="00E711E8">
      <w:pPr>
        <w:pStyle w:val="ASRHeading4"/>
        <w:rPr>
          <w:rFonts w:asciiTheme="minorHAnsi" w:hAnsiTheme="minorHAnsi"/>
        </w:rPr>
      </w:pPr>
      <w:r w:rsidRPr="00F87176">
        <w:rPr>
          <w:rFonts w:asciiTheme="minorHAnsi" w:hAnsiTheme="minorHAnsi"/>
        </w:rPr>
        <w:t>2012 Targets to achieve this outcome include:</w:t>
      </w:r>
    </w:p>
    <w:p w:rsidR="00453C5C" w:rsidRDefault="009D1B0F" w:rsidP="00453C5C">
      <w:pPr>
        <w:pStyle w:val="ListParagraph"/>
        <w:numPr>
          <w:ilvl w:val="0"/>
          <w:numId w:val="30"/>
        </w:numPr>
        <w:spacing w:after="0" w:line="240" w:lineRule="auto"/>
      </w:pPr>
      <w:r>
        <w:t>All executive and curriculum leaders p</w:t>
      </w:r>
      <w:r w:rsidR="00453C5C">
        <w:t>articipate</w:t>
      </w:r>
      <w:r w:rsidR="00453C5C" w:rsidRPr="00F122A6">
        <w:t xml:space="preserve"> in </w:t>
      </w:r>
      <w:r w:rsidR="00453C5C">
        <w:t xml:space="preserve">curriculum </w:t>
      </w:r>
      <w:r w:rsidR="00453C5C" w:rsidRPr="00F122A6">
        <w:t>leadership development</w:t>
      </w:r>
      <w:r w:rsidR="00453C5C">
        <w:t xml:space="preserve">. </w:t>
      </w:r>
      <w:r w:rsidR="00453C5C" w:rsidRPr="00F122A6">
        <w:t xml:space="preserve"> </w:t>
      </w:r>
    </w:p>
    <w:p w:rsidR="00453C5C" w:rsidRPr="00F122A6" w:rsidRDefault="009D1B0F" w:rsidP="00453C5C">
      <w:pPr>
        <w:pStyle w:val="ListParagraph"/>
        <w:numPr>
          <w:ilvl w:val="0"/>
          <w:numId w:val="30"/>
        </w:numPr>
        <w:spacing w:after="0" w:line="240" w:lineRule="auto"/>
      </w:pPr>
      <w:r>
        <w:t>All executive and curriculum leaders p</w:t>
      </w:r>
      <w:r w:rsidR="00453C5C">
        <w:t>articipate</w:t>
      </w:r>
      <w:r w:rsidR="00453C5C" w:rsidRPr="00F122A6">
        <w:t xml:space="preserve"> in collegial action supporting imple</w:t>
      </w:r>
      <w:r w:rsidR="00453C5C">
        <w:t>mentation of the new syllabuses.</w:t>
      </w:r>
    </w:p>
    <w:p w:rsidR="00453C5C" w:rsidRPr="00F122A6" w:rsidRDefault="009D1B0F" w:rsidP="00453C5C">
      <w:pPr>
        <w:pStyle w:val="ListParagraph"/>
        <w:numPr>
          <w:ilvl w:val="0"/>
          <w:numId w:val="30"/>
        </w:numPr>
        <w:spacing w:after="0" w:line="240" w:lineRule="auto"/>
      </w:pPr>
      <w:r>
        <w:t>All executive and curriculum leaders a</w:t>
      </w:r>
      <w:r w:rsidR="00453C5C" w:rsidRPr="00F122A6">
        <w:t>dapt and use online professional learning modules and teaching and learning resources to develop teachers’ ability to use the new syllabuses to m</w:t>
      </w:r>
      <w:r w:rsidR="00453C5C">
        <w:t>eet the needs of their students.</w:t>
      </w:r>
    </w:p>
    <w:p w:rsidR="00453C5C" w:rsidRDefault="009D1B0F" w:rsidP="00453C5C">
      <w:pPr>
        <w:pStyle w:val="ListParagraph"/>
        <w:numPr>
          <w:ilvl w:val="0"/>
          <w:numId w:val="30"/>
        </w:numPr>
        <w:spacing w:after="0" w:line="240" w:lineRule="auto"/>
      </w:pPr>
      <w:r>
        <w:t>All staff consulted in</w:t>
      </w:r>
      <w:r w:rsidR="00453C5C" w:rsidRPr="00F122A6">
        <w:t xml:space="preserve"> the updating of </w:t>
      </w:r>
      <w:r w:rsidR="00453C5C">
        <w:t>school policies to reflect the new syllabus implementation</w:t>
      </w:r>
    </w:p>
    <w:p w:rsidR="00453C5C" w:rsidRDefault="00453C5C" w:rsidP="00E711E8">
      <w:pPr>
        <w:pStyle w:val="ASRHeading4"/>
        <w:rPr>
          <w:rFonts w:asciiTheme="minorHAnsi" w:hAnsiTheme="minorHAnsi"/>
        </w:rPr>
      </w:pPr>
    </w:p>
    <w:p w:rsidR="00E711E8" w:rsidRPr="00F87176" w:rsidRDefault="00E711E8" w:rsidP="00E711E8">
      <w:pPr>
        <w:pStyle w:val="ASRHeading4"/>
        <w:rPr>
          <w:rFonts w:asciiTheme="minorHAnsi" w:hAnsiTheme="minorHAnsi"/>
        </w:rPr>
      </w:pPr>
      <w:r w:rsidRPr="00F87176">
        <w:rPr>
          <w:rFonts w:asciiTheme="minorHAnsi" w:hAnsiTheme="minorHAnsi"/>
        </w:rPr>
        <w:t>Strategies to achieve these targets include:</w:t>
      </w:r>
    </w:p>
    <w:p w:rsidR="00453C5C" w:rsidRDefault="00453C5C" w:rsidP="00453C5C">
      <w:pPr>
        <w:pStyle w:val="ListParagraph"/>
        <w:numPr>
          <w:ilvl w:val="0"/>
          <w:numId w:val="29"/>
        </w:numPr>
        <w:spacing w:after="0" w:line="240" w:lineRule="auto"/>
      </w:pPr>
      <w:r>
        <w:t>Compliance with school policies and action plans for implementation of new syllabus are evident in PARS, EARS and TARS.</w:t>
      </w:r>
    </w:p>
    <w:p w:rsidR="00453C5C" w:rsidRDefault="00453C5C" w:rsidP="00453C5C">
      <w:pPr>
        <w:pStyle w:val="ListParagraph"/>
        <w:numPr>
          <w:ilvl w:val="0"/>
          <w:numId w:val="29"/>
        </w:numPr>
        <w:spacing w:after="0" w:line="240" w:lineRule="auto"/>
      </w:pPr>
      <w:r>
        <w:t xml:space="preserve">School Professional learning logs reflect engagement in syllabus implementation </w:t>
      </w:r>
    </w:p>
    <w:p w:rsidR="00F87176" w:rsidRDefault="00453C5C" w:rsidP="00453C5C">
      <w:pPr>
        <w:pStyle w:val="ASRListBullet"/>
      </w:pPr>
      <w:r>
        <w:lastRenderedPageBreak/>
        <w:t>Staff and executive are confident and capable to lead staff familiarisation with eSyllabus format.</w:t>
      </w:r>
    </w:p>
    <w:p w:rsidR="00E711E8" w:rsidRPr="00F87176" w:rsidRDefault="00E711E8" w:rsidP="00E711E8">
      <w:pPr>
        <w:pStyle w:val="ASRHeading2"/>
        <w:outlineLvl w:val="1"/>
      </w:pPr>
      <w:r>
        <w:t>School priority 4</w:t>
      </w:r>
      <w:r w:rsidR="00453C5C">
        <w:t xml:space="preserve"> </w:t>
      </w:r>
      <w:r w:rsidR="00995019">
        <w:t>Learning Communities</w:t>
      </w:r>
    </w:p>
    <w:p w:rsidR="00995019" w:rsidRPr="00F87176" w:rsidRDefault="00995019" w:rsidP="00995019">
      <w:pPr>
        <w:pStyle w:val="ASRHeading3"/>
        <w:outlineLvl w:val="2"/>
        <w:rPr>
          <w:rFonts w:asciiTheme="minorHAnsi" w:hAnsiTheme="minorHAnsi"/>
        </w:rPr>
      </w:pPr>
      <w:r w:rsidRPr="00F87176">
        <w:rPr>
          <w:rFonts w:asciiTheme="minorHAnsi" w:hAnsiTheme="minorHAnsi"/>
        </w:rPr>
        <w:t>Outcome for 2012–2014</w:t>
      </w:r>
    </w:p>
    <w:p w:rsidR="00995019" w:rsidRDefault="001C65B1" w:rsidP="00E711E8">
      <w:r>
        <w:t>Blackheath Public School will be</w:t>
      </w:r>
      <w:r w:rsidR="0036056F">
        <w:t xml:space="preserve"> an effective member of the UBMLC in the consultation of a changing educational environment.</w:t>
      </w:r>
    </w:p>
    <w:p w:rsidR="00E711E8" w:rsidRPr="00F87176" w:rsidRDefault="00E711E8" w:rsidP="00E711E8">
      <w:pPr>
        <w:pStyle w:val="ASRHeading4"/>
        <w:rPr>
          <w:rFonts w:asciiTheme="minorHAnsi" w:hAnsiTheme="minorHAnsi"/>
        </w:rPr>
      </w:pPr>
      <w:r w:rsidRPr="00F87176">
        <w:rPr>
          <w:rFonts w:asciiTheme="minorHAnsi" w:hAnsiTheme="minorHAnsi"/>
        </w:rPr>
        <w:t>2012 Targets to achieve this outcome include:</w:t>
      </w:r>
    </w:p>
    <w:p w:rsidR="00E711E8" w:rsidRPr="00F87176" w:rsidRDefault="0036056F" w:rsidP="00E711E8">
      <w:pPr>
        <w:pStyle w:val="ASRListBullet"/>
      </w:pPr>
      <w:r>
        <w:t>All schools involved in teacher professional learning in p</w:t>
      </w:r>
      <w:r w:rsidR="001C65B1">
        <w:t>rograms including Every Student</w:t>
      </w:r>
      <w:r>
        <w:t xml:space="preserve"> Every School, LMBR and Local Schools Local Decisions.</w:t>
      </w:r>
    </w:p>
    <w:p w:rsidR="00E711E8" w:rsidRPr="00F87176" w:rsidRDefault="0036056F" w:rsidP="00E711E8">
      <w:pPr>
        <w:pStyle w:val="ASRListBullet"/>
      </w:pPr>
      <w:r>
        <w:t xml:space="preserve">All schools provide a transparent financial and human resource plan in the implementation of new State or Federal programs. </w:t>
      </w:r>
    </w:p>
    <w:p w:rsidR="00E711E8" w:rsidRPr="00F87176" w:rsidRDefault="00E711E8" w:rsidP="00E711E8">
      <w:pPr>
        <w:pStyle w:val="ASRHeading4"/>
        <w:rPr>
          <w:rFonts w:asciiTheme="minorHAnsi" w:hAnsiTheme="minorHAnsi"/>
        </w:rPr>
      </w:pPr>
      <w:r w:rsidRPr="00F87176">
        <w:rPr>
          <w:rFonts w:asciiTheme="minorHAnsi" w:hAnsiTheme="minorHAnsi"/>
        </w:rPr>
        <w:t>Strategies to achieve these targets include:</w:t>
      </w:r>
    </w:p>
    <w:p w:rsidR="00E711E8" w:rsidRPr="00F87176" w:rsidRDefault="0036056F" w:rsidP="00E711E8">
      <w:pPr>
        <w:pStyle w:val="ASRListBullet"/>
      </w:pPr>
      <w:r>
        <w:t>UBMLC meetings to be held twice a term.</w:t>
      </w:r>
    </w:p>
    <w:p w:rsidR="00E711E8" w:rsidRPr="00F87176" w:rsidRDefault="0036056F" w:rsidP="00E711E8">
      <w:pPr>
        <w:pStyle w:val="ASRListBullet"/>
      </w:pPr>
      <w:r>
        <w:t>Meetings to involve development of strategies to promote leadership at all levels of school communities.</w:t>
      </w:r>
    </w:p>
    <w:p w:rsidR="00E711E8" w:rsidRDefault="0036056F" w:rsidP="00E711E8">
      <w:pPr>
        <w:pStyle w:val="ASRListBullet"/>
      </w:pPr>
      <w:r>
        <w:t>Investigate the sharing of staffing allocations in the Every student Every School program to maximize learning outcomes for the students of the UBMLC schools.</w:t>
      </w:r>
    </w:p>
    <w:p w:rsidR="0036056F" w:rsidRDefault="002D578C" w:rsidP="00E711E8">
      <w:pPr>
        <w:pStyle w:val="ASRListBullet"/>
      </w:pPr>
      <w:r>
        <w:t>Continued development of the executive Network for UBMLC executive</w:t>
      </w:r>
      <w:r w:rsidR="00946737">
        <w:t>.</w:t>
      </w:r>
    </w:p>
    <w:p w:rsidR="00946737" w:rsidRPr="00F87176" w:rsidRDefault="00946737" w:rsidP="00E711E8">
      <w:pPr>
        <w:pStyle w:val="ASRListBullet"/>
      </w:pPr>
      <w:r>
        <w:t xml:space="preserve">Strengthen networks for SAM’s, GA’s and curriculum leaders. </w:t>
      </w:r>
    </w:p>
    <w:p w:rsidR="00CA44F4" w:rsidRDefault="00CA44F4" w:rsidP="00C24C7C">
      <w:pPr>
        <w:pStyle w:val="ASRHeading1"/>
        <w:jc w:val="left"/>
      </w:pPr>
    </w:p>
    <w:p w:rsidR="00CA7AB6" w:rsidRDefault="00CA7AB6" w:rsidP="00453C5C">
      <w:pPr>
        <w:pStyle w:val="ASRHeading1"/>
      </w:pPr>
    </w:p>
    <w:p w:rsidR="00CA7AB6" w:rsidRDefault="00CA7AB6" w:rsidP="00453C5C">
      <w:pPr>
        <w:pStyle w:val="ASRHeading1"/>
      </w:pPr>
    </w:p>
    <w:p w:rsidR="00CA7AB6" w:rsidRDefault="00CA7AB6" w:rsidP="00453C5C">
      <w:pPr>
        <w:pStyle w:val="ASRHeading1"/>
      </w:pPr>
    </w:p>
    <w:p w:rsidR="00CA7AB6" w:rsidRDefault="00CA7AB6" w:rsidP="00453C5C">
      <w:pPr>
        <w:pStyle w:val="ASRHeading1"/>
      </w:pPr>
    </w:p>
    <w:p w:rsidR="00CA7AB6" w:rsidRDefault="00CA7AB6" w:rsidP="00453C5C">
      <w:pPr>
        <w:pStyle w:val="ASRHeading1"/>
      </w:pPr>
    </w:p>
    <w:p w:rsidR="00CA7AB6" w:rsidRDefault="00CA7AB6" w:rsidP="00453C5C">
      <w:pPr>
        <w:pStyle w:val="ASRHeading1"/>
      </w:pPr>
    </w:p>
    <w:p w:rsidR="00CA7AB6" w:rsidRDefault="00CA7AB6" w:rsidP="00453C5C">
      <w:pPr>
        <w:pStyle w:val="ASRHeading1"/>
      </w:pPr>
    </w:p>
    <w:p w:rsidR="009974E3" w:rsidRPr="00F87176" w:rsidRDefault="009974E3" w:rsidP="002D578C">
      <w:pPr>
        <w:pStyle w:val="ASRHeading1"/>
        <w:jc w:val="left"/>
      </w:pPr>
      <w:r w:rsidRPr="00F87176">
        <w:t>About this report</w:t>
      </w:r>
      <w:bookmarkEnd w:id="56"/>
      <w:bookmarkEnd w:id="57"/>
      <w:bookmarkEnd w:id="58"/>
      <w:bookmarkEnd w:id="59"/>
      <w:bookmarkEnd w:id="60"/>
      <w:bookmarkEnd w:id="61"/>
      <w:bookmarkEnd w:id="66"/>
    </w:p>
    <w:p w:rsidR="009974E3" w:rsidRPr="00F87176" w:rsidRDefault="009974E3" w:rsidP="00FB3071">
      <w:pPr>
        <w:pStyle w:val="ASRBodyText"/>
      </w:pPr>
      <w:r w:rsidRPr="00F87176">
        <w:t>In preparing this report, the self-evaluation committee has gathered information from evaluations conducted during the year and analysed other information about the school's practices and student learning outcomes. The self-evaluation committee and school planning committee have determined targets for the school's future development.</w:t>
      </w:r>
    </w:p>
    <w:p w:rsidR="00F87176" w:rsidRPr="00AE58CF" w:rsidRDefault="00F87176" w:rsidP="00F87176">
      <w:pPr>
        <w:pStyle w:val="ASRBodyText"/>
        <w:rPr>
          <w:rFonts w:cs="Arial"/>
        </w:rPr>
      </w:pPr>
      <w:bookmarkStart w:id="67" w:name="_Toc210703325"/>
      <w:bookmarkStart w:id="68" w:name="_Toc210703406"/>
      <w:bookmarkStart w:id="69" w:name="_Toc210703672"/>
      <w:r w:rsidRPr="00AE58CF">
        <w:rPr>
          <w:rFonts w:cs="Arial"/>
        </w:rPr>
        <w:t>Ms. Liz Riley – P&amp;C President</w:t>
      </w:r>
    </w:p>
    <w:p w:rsidR="00F87176" w:rsidRPr="00AE58CF" w:rsidRDefault="00F87176" w:rsidP="00F87176">
      <w:pPr>
        <w:pStyle w:val="ASRBodyText"/>
        <w:rPr>
          <w:rFonts w:cs="Arial"/>
        </w:rPr>
      </w:pPr>
      <w:r w:rsidRPr="00AE58CF">
        <w:rPr>
          <w:rFonts w:cs="Arial"/>
        </w:rPr>
        <w:t>Ms. Fiona Huddleston– Assistant Principal</w:t>
      </w:r>
    </w:p>
    <w:p w:rsidR="00F87176" w:rsidRPr="00AE58CF" w:rsidRDefault="00F87176" w:rsidP="00F87176">
      <w:pPr>
        <w:pStyle w:val="ASRBodyText"/>
        <w:rPr>
          <w:rFonts w:cs="Arial"/>
        </w:rPr>
      </w:pPr>
      <w:r w:rsidRPr="00AE58CF">
        <w:rPr>
          <w:rFonts w:cs="Arial"/>
        </w:rPr>
        <w:t>Ms. Viktoria Rendes – Assistant Principal</w:t>
      </w:r>
    </w:p>
    <w:p w:rsidR="00F87176" w:rsidRPr="00AE58CF" w:rsidRDefault="00F87176" w:rsidP="00F87176">
      <w:pPr>
        <w:pStyle w:val="ASRBodyText"/>
        <w:rPr>
          <w:rFonts w:cs="Arial"/>
        </w:rPr>
      </w:pPr>
      <w:r w:rsidRPr="00AE58CF">
        <w:rPr>
          <w:rFonts w:cs="Arial"/>
        </w:rPr>
        <w:t>Mrs. Sheryl Cootes – Assistant Principal</w:t>
      </w:r>
    </w:p>
    <w:p w:rsidR="00F87176" w:rsidRPr="00AE58CF" w:rsidRDefault="00F87176" w:rsidP="00F87176">
      <w:pPr>
        <w:pStyle w:val="ASRBodyText"/>
        <w:rPr>
          <w:rFonts w:cs="Arial"/>
        </w:rPr>
      </w:pPr>
      <w:r w:rsidRPr="00AE58CF">
        <w:rPr>
          <w:rFonts w:cs="Arial"/>
        </w:rPr>
        <w:t>Mr. Mark Rudd- Principal</w:t>
      </w:r>
    </w:p>
    <w:p w:rsidR="00F87176" w:rsidRPr="00F87176" w:rsidRDefault="00F87176" w:rsidP="00F87176">
      <w:pPr>
        <w:pStyle w:val="ASRHeading2"/>
        <w:spacing w:before="0"/>
      </w:pPr>
    </w:p>
    <w:p w:rsidR="00F87176" w:rsidRPr="00F87176" w:rsidRDefault="00F87176" w:rsidP="00F87176">
      <w:pPr>
        <w:pStyle w:val="ASRHeading2"/>
        <w:spacing w:before="0"/>
      </w:pPr>
    </w:p>
    <w:p w:rsidR="00F87176" w:rsidRPr="00F87176" w:rsidRDefault="00F87176" w:rsidP="00F87176">
      <w:pPr>
        <w:pStyle w:val="ASRHeading2"/>
        <w:spacing w:before="0"/>
        <w:jc w:val="center"/>
      </w:pPr>
      <w:r w:rsidRPr="00F87176">
        <w:t>School contact information</w:t>
      </w:r>
    </w:p>
    <w:p w:rsidR="00F87176" w:rsidRPr="00F87176" w:rsidRDefault="00F87176" w:rsidP="00F87176">
      <w:pPr>
        <w:pStyle w:val="Schoolcontactinformation"/>
        <w:rPr>
          <w:rFonts w:asciiTheme="minorHAnsi" w:hAnsiTheme="minorHAnsi"/>
        </w:rPr>
      </w:pPr>
    </w:p>
    <w:p w:rsidR="00F87176" w:rsidRPr="00F87176" w:rsidRDefault="00F87176" w:rsidP="00F87176">
      <w:pPr>
        <w:pStyle w:val="Schoolcontactinformation"/>
        <w:rPr>
          <w:rFonts w:asciiTheme="minorHAnsi" w:hAnsiTheme="minorHAnsi"/>
        </w:rPr>
      </w:pPr>
      <w:r w:rsidRPr="00F87176">
        <w:rPr>
          <w:rFonts w:asciiTheme="minorHAnsi" w:hAnsiTheme="minorHAnsi"/>
        </w:rPr>
        <w:t>Blackheath Public School</w:t>
      </w:r>
    </w:p>
    <w:p w:rsidR="00F87176" w:rsidRPr="00F87176" w:rsidRDefault="00F87176" w:rsidP="00F87176">
      <w:pPr>
        <w:pStyle w:val="Schoolcontactinformation"/>
        <w:rPr>
          <w:rFonts w:asciiTheme="minorHAnsi" w:hAnsiTheme="minorHAnsi"/>
        </w:rPr>
      </w:pPr>
      <w:r w:rsidRPr="00F87176">
        <w:rPr>
          <w:rFonts w:asciiTheme="minorHAnsi" w:hAnsiTheme="minorHAnsi"/>
        </w:rPr>
        <w:t>Leichhardt Street, Blackheath</w:t>
      </w:r>
      <w:r w:rsidRPr="00F87176">
        <w:rPr>
          <w:rFonts w:asciiTheme="minorHAnsi" w:hAnsiTheme="minorHAnsi"/>
        </w:rPr>
        <w:tab/>
      </w:r>
    </w:p>
    <w:p w:rsidR="00F87176" w:rsidRPr="00F87176" w:rsidRDefault="00F87176" w:rsidP="00F87176">
      <w:pPr>
        <w:pStyle w:val="Schoolcontactinformation"/>
        <w:rPr>
          <w:rFonts w:asciiTheme="minorHAnsi" w:hAnsiTheme="minorHAnsi"/>
        </w:rPr>
      </w:pPr>
      <w:r w:rsidRPr="00F87176">
        <w:rPr>
          <w:rFonts w:asciiTheme="minorHAnsi" w:hAnsiTheme="minorHAnsi"/>
        </w:rPr>
        <w:t>NSW</w:t>
      </w:r>
      <w:r w:rsidRPr="00F87176">
        <w:rPr>
          <w:rFonts w:asciiTheme="minorHAnsi" w:hAnsiTheme="minorHAnsi"/>
        </w:rPr>
        <w:tab/>
        <w:t xml:space="preserve">2785 </w:t>
      </w:r>
    </w:p>
    <w:p w:rsidR="00F87176" w:rsidRPr="00F87176" w:rsidRDefault="00F87176" w:rsidP="00F87176">
      <w:pPr>
        <w:pStyle w:val="Schoolcontactinformation"/>
        <w:rPr>
          <w:rFonts w:asciiTheme="minorHAnsi" w:hAnsiTheme="minorHAnsi"/>
        </w:rPr>
      </w:pPr>
      <w:r w:rsidRPr="00F87176">
        <w:rPr>
          <w:rFonts w:asciiTheme="minorHAnsi" w:hAnsiTheme="minorHAnsi"/>
        </w:rPr>
        <w:t>02 4787 8253</w:t>
      </w:r>
    </w:p>
    <w:p w:rsidR="00F87176" w:rsidRPr="00F87176" w:rsidRDefault="00F87176" w:rsidP="00F87176">
      <w:pPr>
        <w:pStyle w:val="Schoolcontactinformation"/>
        <w:rPr>
          <w:rFonts w:asciiTheme="minorHAnsi" w:hAnsiTheme="minorHAnsi"/>
        </w:rPr>
      </w:pPr>
      <w:r w:rsidRPr="00F87176">
        <w:rPr>
          <w:rFonts w:asciiTheme="minorHAnsi" w:hAnsiTheme="minorHAnsi"/>
        </w:rPr>
        <w:t>02 2787 8320</w:t>
      </w:r>
    </w:p>
    <w:p w:rsidR="00F87176" w:rsidRPr="00F87176" w:rsidRDefault="00F87176" w:rsidP="00F87176">
      <w:pPr>
        <w:pStyle w:val="Schoolcontactinformation"/>
        <w:rPr>
          <w:rFonts w:asciiTheme="minorHAnsi" w:hAnsiTheme="minorHAnsi"/>
        </w:rPr>
      </w:pPr>
      <w:r w:rsidRPr="00F87176">
        <w:rPr>
          <w:rFonts w:asciiTheme="minorHAnsi" w:hAnsiTheme="minorHAnsi"/>
        </w:rPr>
        <w:t>blackheath-p.school@det.nsw.edu.au</w:t>
      </w:r>
    </w:p>
    <w:p w:rsidR="00F87176" w:rsidRPr="00F87176" w:rsidRDefault="00F87176" w:rsidP="00F87176">
      <w:pPr>
        <w:pStyle w:val="Schoolcontactinformation"/>
        <w:jc w:val="left"/>
        <w:rPr>
          <w:rFonts w:asciiTheme="minorHAnsi" w:hAnsiTheme="minorHAnsi"/>
        </w:rPr>
      </w:pPr>
      <w:r w:rsidRPr="00F87176">
        <w:rPr>
          <w:rFonts w:asciiTheme="minorHAnsi" w:hAnsiTheme="minorHAnsi"/>
        </w:rPr>
        <w:t>1246</w:t>
      </w:r>
    </w:p>
    <w:p w:rsidR="00F87176" w:rsidRPr="00F87176" w:rsidRDefault="00F87176" w:rsidP="000C46CC">
      <w:pPr>
        <w:pStyle w:val="ASRBodyText"/>
      </w:pPr>
    </w:p>
    <w:bookmarkEnd w:id="67"/>
    <w:bookmarkEnd w:id="68"/>
    <w:bookmarkEnd w:id="69"/>
    <w:p w:rsidR="009974E3" w:rsidRPr="00F87176" w:rsidRDefault="009974E3" w:rsidP="00F17EE8">
      <w:pPr>
        <w:pStyle w:val="ASRBodyText"/>
      </w:pPr>
      <w:r w:rsidRPr="00F87176">
        <w:t>Parents can find out more information about Annual School Reports, how to interpret information in the reports and have the opportunity to provide feedback about these reports at:</w:t>
      </w:r>
    </w:p>
    <w:p w:rsidR="009974E3" w:rsidRPr="00F87176" w:rsidRDefault="003E5634" w:rsidP="00FB3071">
      <w:pPr>
        <w:pStyle w:val="ASRBodyText"/>
      </w:pPr>
      <w:hyperlink r:id="rId33" w:history="1">
        <w:r w:rsidR="009974E3" w:rsidRPr="00F87176">
          <w:t>http://www.schools.nsw.edu.au/asr</w:t>
        </w:r>
      </w:hyperlink>
    </w:p>
    <w:p w:rsidR="001B7426" w:rsidRPr="00FB3071" w:rsidRDefault="001B7426" w:rsidP="001C7F0A"/>
    <w:sectPr w:rsidR="001B7426" w:rsidRPr="00FB3071" w:rsidSect="000C7B60">
      <w:footerReference w:type="even" r:id="rId34"/>
      <w:footerReference w:type="default" r:id="rId35"/>
      <w:pgSz w:w="11906" w:h="16838" w:code="9"/>
      <w:pgMar w:top="1134" w:right="1134" w:bottom="567" w:left="1134" w:header="567" w:footer="567"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E02" w:rsidRDefault="00391E02">
      <w:pPr>
        <w:spacing w:after="0" w:line="240" w:lineRule="auto"/>
      </w:pPr>
      <w:r>
        <w:separator/>
      </w:r>
    </w:p>
  </w:endnote>
  <w:endnote w:type="continuationSeparator" w:id="0">
    <w:p w:rsidR="00391E02" w:rsidRDefault="00391E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Neue Light">
    <w:altName w:val="Corbel"/>
    <w:charset w:val="00"/>
    <w:family w:val="auto"/>
    <w:pitch w:val="variable"/>
    <w:sig w:usb0="00000003" w:usb1="00000000" w:usb2="00000000" w:usb3="00000000" w:csb0="00000001" w:csb1="00000000"/>
  </w:font>
  <w:font w:name="Helvetica Neue UltraLight">
    <w:altName w:val="Tekton Pro Cond"/>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62" w:rsidRDefault="007B1A62" w:rsidP="00104F68">
    <w:pPr>
      <w:pStyle w:val="Footer"/>
      <w:jc w:val="center"/>
      <w:rPr>
        <w:color w:val="C00000"/>
      </w:rPr>
    </w:pPr>
  </w:p>
  <w:p w:rsidR="007B1A62" w:rsidRPr="00B02E93" w:rsidRDefault="003E5634" w:rsidP="00104F68">
    <w:pPr>
      <w:pStyle w:val="Footer"/>
      <w:jc w:val="center"/>
      <w:rPr>
        <w:color w:val="C00000"/>
      </w:rPr>
    </w:pPr>
    <w:r>
      <w:rPr>
        <w:noProof/>
        <w:color w:val="C00000"/>
        <w:lang w:val="en-AU" w:eastAsia="en-AU" w:bidi="ar-SA"/>
      </w:rPr>
      <w:pict>
        <v:shapetype id="_x0000_t32" coordsize="21600,21600" o:spt="32" o:oned="t" path="m,l21600,21600e" filled="f">
          <v:path arrowok="t" fillok="f" o:connecttype="none"/>
          <o:lock v:ext="edit" shapetype="t"/>
        </v:shapetype>
        <v:shape id="Straight Arrow Connector 9" o:spid="_x0000_s2050" type="#_x0000_t32" style="position:absolute;left:0;text-align:left;margin-left:-.6pt;margin-top:9.05pt;width:485.05pt;height:0;z-index:2516567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tJf4ssCAAARBgAADgAAAAAAAAAAAAAAAAAuAgAAZHJzL2Uyb0RvYy54bWxQ&#10;SwECLQAUAAYACAAAACEAJ+88zN4AAAAIAQAADwAAAAAAAAAAAAAAAAAlBQAAZHJzL2Rvd25yZXYu&#10;eG1sUEsFBgAAAAAEAAQA8wAAADAGAAAAAA==&#10;" strokecolor="#d99594 [1941]">
          <v:shadow color="#974706 [1609]" opacity=".5" offset="1pt"/>
        </v:shape>
      </w:pict>
    </w:r>
  </w:p>
  <w:p w:rsidR="007B1A62" w:rsidRPr="00B02E93" w:rsidRDefault="003E5634" w:rsidP="00104F68">
    <w:pPr>
      <w:pStyle w:val="Footer"/>
      <w:jc w:val="center"/>
      <w:rPr>
        <w:color w:val="C00000"/>
      </w:rPr>
    </w:pPr>
    <w:sdt>
      <w:sdtPr>
        <w:rPr>
          <w:color w:val="C00000"/>
        </w:rPr>
        <w:id w:val="12164935"/>
        <w:docPartObj>
          <w:docPartGallery w:val="Page Numbers (Bottom of Page)"/>
          <w:docPartUnique/>
        </w:docPartObj>
      </w:sdtPr>
      <w:sdtEndPr>
        <w:rPr>
          <w:color w:val="D99594" w:themeColor="accent2" w:themeTint="99"/>
        </w:rPr>
      </w:sdtEndPr>
      <w:sdtContent>
        <w:r w:rsidRPr="00B02E93">
          <w:rPr>
            <w:color w:val="D99594" w:themeColor="accent2" w:themeTint="99"/>
          </w:rPr>
          <w:fldChar w:fldCharType="begin"/>
        </w:r>
        <w:r w:rsidR="007B1A62" w:rsidRPr="00B02E93">
          <w:rPr>
            <w:color w:val="D99594" w:themeColor="accent2" w:themeTint="99"/>
          </w:rPr>
          <w:instrText xml:space="preserve"> PAGE   \* MERGEFORMAT </w:instrText>
        </w:r>
        <w:r w:rsidRPr="00B02E93">
          <w:rPr>
            <w:color w:val="D99594" w:themeColor="accent2" w:themeTint="99"/>
          </w:rPr>
          <w:fldChar w:fldCharType="separate"/>
        </w:r>
        <w:r w:rsidR="007B1A62">
          <w:rPr>
            <w:noProof/>
            <w:color w:val="D99594" w:themeColor="accent2" w:themeTint="99"/>
          </w:rPr>
          <w:t>2</w:t>
        </w:r>
        <w:r w:rsidRPr="00B02E93">
          <w:rPr>
            <w:color w:val="D99594" w:themeColor="accent2" w:themeTint="99"/>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62" w:rsidRDefault="007B1A62" w:rsidP="00104F68">
    <w:pPr>
      <w:pStyle w:val="Footer"/>
      <w:jc w:val="center"/>
      <w:rPr>
        <w:color w:val="C00000"/>
      </w:rPr>
    </w:pPr>
  </w:p>
  <w:p w:rsidR="007B1A62" w:rsidRPr="00B02E93" w:rsidRDefault="003E5634" w:rsidP="00104F68">
    <w:pPr>
      <w:pStyle w:val="Footer"/>
      <w:jc w:val="center"/>
      <w:rPr>
        <w:color w:val="C00000"/>
      </w:rPr>
    </w:pPr>
    <w:r>
      <w:rPr>
        <w:noProof/>
        <w:color w:val="C00000"/>
        <w:lang w:val="en-AU" w:eastAsia="en-AU" w:bidi="ar-SA"/>
      </w:rPr>
      <w:pict>
        <v:shapetype id="_x0000_t32" coordsize="21600,21600" o:spt="32" o:oned="t" path="m,l21600,21600e" filled="f">
          <v:path arrowok="t" fillok="f" o:connecttype="none"/>
          <o:lock v:ext="edit" shapetype="t"/>
        </v:shapetype>
        <v:shape id="Straight Arrow Connector 8" o:spid="_x0000_s2049" type="#_x0000_t32" style="position:absolute;left:0;text-align:left;margin-left:-.6pt;margin-top:9.05pt;width:485.05pt;height:0;z-index:2516577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sBzMsCAAARBgAADgAAAAAAAAAAAAAAAAAuAgAAZHJzL2Uyb0RvYy54bWxQ&#10;SwECLQAUAAYACAAAACEAJ+88zN4AAAAIAQAADwAAAAAAAAAAAAAAAAAlBQAAZHJzL2Rvd25yZXYu&#10;eG1sUEsFBgAAAAAEAAQA8wAAADAGAAAAAA==&#10;" strokecolor="#d99594 [1941]">
          <v:shadow color="#974706 [1609]" opacity=".5" offset="1pt"/>
        </v:shape>
      </w:pict>
    </w:r>
  </w:p>
  <w:p w:rsidR="007B1A62" w:rsidRPr="00B02E93" w:rsidRDefault="003E5634" w:rsidP="00104F68">
    <w:pPr>
      <w:pStyle w:val="Footer"/>
      <w:jc w:val="center"/>
      <w:rPr>
        <w:color w:val="C00000"/>
      </w:rPr>
    </w:pPr>
    <w:sdt>
      <w:sdtPr>
        <w:rPr>
          <w:color w:val="C00000"/>
        </w:rPr>
        <w:id w:val="13275016"/>
        <w:docPartObj>
          <w:docPartGallery w:val="Page Numbers (Bottom of Page)"/>
          <w:docPartUnique/>
        </w:docPartObj>
      </w:sdtPr>
      <w:sdtEndPr>
        <w:rPr>
          <w:color w:val="D99594" w:themeColor="accent2" w:themeTint="99"/>
        </w:rPr>
      </w:sdtEndPr>
      <w:sdtContent>
        <w:r w:rsidRPr="00B02E93">
          <w:rPr>
            <w:color w:val="D99594" w:themeColor="accent2" w:themeTint="99"/>
          </w:rPr>
          <w:fldChar w:fldCharType="begin"/>
        </w:r>
        <w:r w:rsidR="007B1A62" w:rsidRPr="00B02E93">
          <w:rPr>
            <w:color w:val="D99594" w:themeColor="accent2" w:themeTint="99"/>
          </w:rPr>
          <w:instrText xml:space="preserve"> PAGE   \* MERGEFORMAT </w:instrText>
        </w:r>
        <w:r w:rsidRPr="00B02E93">
          <w:rPr>
            <w:color w:val="D99594" w:themeColor="accent2" w:themeTint="99"/>
          </w:rPr>
          <w:fldChar w:fldCharType="separate"/>
        </w:r>
        <w:r w:rsidR="00BB42B7">
          <w:rPr>
            <w:noProof/>
            <w:color w:val="D99594" w:themeColor="accent2" w:themeTint="99"/>
          </w:rPr>
          <w:t>16</w:t>
        </w:r>
        <w:r w:rsidRPr="00B02E93">
          <w:rPr>
            <w:color w:val="D99594" w:themeColor="accent2" w:themeTint="99"/>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E02" w:rsidRDefault="00391E02">
      <w:pPr>
        <w:spacing w:after="0" w:line="240" w:lineRule="auto"/>
      </w:pPr>
      <w:r>
        <w:separator/>
      </w:r>
    </w:p>
  </w:footnote>
  <w:footnote w:type="continuationSeparator" w:id="0">
    <w:p w:rsidR="00391E02" w:rsidRDefault="00391E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3.75pt;height:105pt;visibility:visible;mso-wrap-style:square" o:bullet="t">
        <v:imagedata r:id="rId1" o:title=""/>
      </v:shape>
    </w:pict>
  </w:numPicBullet>
  <w:abstractNum w:abstractNumId="0">
    <w:nsid w:val="FFFFFF7C"/>
    <w:multiLevelType w:val="singleLevel"/>
    <w:tmpl w:val="4B2C37C8"/>
    <w:lvl w:ilvl="0">
      <w:start w:val="1"/>
      <w:numFmt w:val="decimal"/>
      <w:lvlText w:val="%1."/>
      <w:lvlJc w:val="left"/>
      <w:pPr>
        <w:tabs>
          <w:tab w:val="num" w:pos="1492"/>
        </w:tabs>
        <w:ind w:left="1492" w:hanging="360"/>
      </w:pPr>
    </w:lvl>
  </w:abstractNum>
  <w:abstractNum w:abstractNumId="1">
    <w:nsid w:val="FFFFFF7D"/>
    <w:multiLevelType w:val="singleLevel"/>
    <w:tmpl w:val="FF680572"/>
    <w:lvl w:ilvl="0">
      <w:start w:val="1"/>
      <w:numFmt w:val="decimal"/>
      <w:lvlText w:val="%1."/>
      <w:lvlJc w:val="left"/>
      <w:pPr>
        <w:tabs>
          <w:tab w:val="num" w:pos="1209"/>
        </w:tabs>
        <w:ind w:left="1209" w:hanging="360"/>
      </w:pPr>
    </w:lvl>
  </w:abstractNum>
  <w:abstractNum w:abstractNumId="2">
    <w:nsid w:val="FFFFFF7E"/>
    <w:multiLevelType w:val="singleLevel"/>
    <w:tmpl w:val="A24229C0"/>
    <w:lvl w:ilvl="0">
      <w:start w:val="1"/>
      <w:numFmt w:val="decimal"/>
      <w:lvlText w:val="%1."/>
      <w:lvlJc w:val="left"/>
      <w:pPr>
        <w:tabs>
          <w:tab w:val="num" w:pos="926"/>
        </w:tabs>
        <w:ind w:left="926" w:hanging="360"/>
      </w:pPr>
    </w:lvl>
  </w:abstractNum>
  <w:abstractNum w:abstractNumId="3">
    <w:nsid w:val="FFFFFF7F"/>
    <w:multiLevelType w:val="singleLevel"/>
    <w:tmpl w:val="8E2A828E"/>
    <w:lvl w:ilvl="0">
      <w:start w:val="1"/>
      <w:numFmt w:val="decimal"/>
      <w:lvlText w:val="%1."/>
      <w:lvlJc w:val="left"/>
      <w:pPr>
        <w:tabs>
          <w:tab w:val="num" w:pos="643"/>
        </w:tabs>
        <w:ind w:left="643" w:hanging="360"/>
      </w:pPr>
    </w:lvl>
  </w:abstractNum>
  <w:abstractNum w:abstractNumId="4">
    <w:nsid w:val="FFFFFF80"/>
    <w:multiLevelType w:val="singleLevel"/>
    <w:tmpl w:val="B79C8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825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65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88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A44E98"/>
    <w:lvl w:ilvl="0">
      <w:start w:val="1"/>
      <w:numFmt w:val="decimal"/>
      <w:lvlText w:val="%1."/>
      <w:lvlJc w:val="left"/>
      <w:pPr>
        <w:tabs>
          <w:tab w:val="num" w:pos="360"/>
        </w:tabs>
        <w:ind w:left="360" w:hanging="360"/>
      </w:pPr>
    </w:lvl>
  </w:abstractNum>
  <w:abstractNum w:abstractNumId="9">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FF34BC"/>
    <w:multiLevelType w:val="hybridMultilevel"/>
    <w:tmpl w:val="42540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E51F72"/>
    <w:multiLevelType w:val="hybridMultilevel"/>
    <w:tmpl w:val="9A46F876"/>
    <w:lvl w:ilvl="0" w:tplc="593A2EF8">
      <w:numFmt w:val="bullet"/>
      <w:lvlText w:val=""/>
      <w:lvlJc w:val="left"/>
      <w:pPr>
        <w:tabs>
          <w:tab w:val="num" w:pos="332"/>
        </w:tabs>
        <w:ind w:left="332" w:hanging="360"/>
      </w:pPr>
      <w:rPr>
        <w:rFonts w:ascii="Symbol" w:eastAsia="Times New Roman" w:hAnsi="Symbol" w:hint="default"/>
        <w:w w:val="0"/>
      </w:rPr>
    </w:lvl>
    <w:lvl w:ilvl="1" w:tplc="00030409" w:tentative="1">
      <w:start w:val="1"/>
      <w:numFmt w:val="bullet"/>
      <w:lvlText w:val="o"/>
      <w:lvlJc w:val="left"/>
      <w:pPr>
        <w:tabs>
          <w:tab w:val="num" w:pos="1052"/>
        </w:tabs>
        <w:ind w:left="1052" w:hanging="360"/>
      </w:pPr>
      <w:rPr>
        <w:rFonts w:ascii="Courier New" w:hAnsi="Courier New" w:hint="default"/>
      </w:rPr>
    </w:lvl>
    <w:lvl w:ilvl="2" w:tplc="00050409" w:tentative="1">
      <w:start w:val="1"/>
      <w:numFmt w:val="bullet"/>
      <w:lvlText w:val=""/>
      <w:lvlJc w:val="left"/>
      <w:pPr>
        <w:tabs>
          <w:tab w:val="num" w:pos="1772"/>
        </w:tabs>
        <w:ind w:left="1772" w:hanging="360"/>
      </w:pPr>
      <w:rPr>
        <w:rFonts w:ascii="Wingdings" w:hAnsi="Wingdings" w:hint="default"/>
      </w:rPr>
    </w:lvl>
    <w:lvl w:ilvl="3" w:tplc="00010409" w:tentative="1">
      <w:start w:val="1"/>
      <w:numFmt w:val="bullet"/>
      <w:lvlText w:val=""/>
      <w:lvlJc w:val="left"/>
      <w:pPr>
        <w:tabs>
          <w:tab w:val="num" w:pos="2492"/>
        </w:tabs>
        <w:ind w:left="2492" w:hanging="360"/>
      </w:pPr>
      <w:rPr>
        <w:rFonts w:ascii="Symbol" w:hAnsi="Symbol" w:hint="default"/>
      </w:rPr>
    </w:lvl>
    <w:lvl w:ilvl="4" w:tplc="00030409" w:tentative="1">
      <w:start w:val="1"/>
      <w:numFmt w:val="bullet"/>
      <w:lvlText w:val="o"/>
      <w:lvlJc w:val="left"/>
      <w:pPr>
        <w:tabs>
          <w:tab w:val="num" w:pos="3212"/>
        </w:tabs>
        <w:ind w:left="3212" w:hanging="360"/>
      </w:pPr>
      <w:rPr>
        <w:rFonts w:ascii="Courier New" w:hAnsi="Courier New" w:hint="default"/>
      </w:rPr>
    </w:lvl>
    <w:lvl w:ilvl="5" w:tplc="00050409" w:tentative="1">
      <w:start w:val="1"/>
      <w:numFmt w:val="bullet"/>
      <w:lvlText w:val=""/>
      <w:lvlJc w:val="left"/>
      <w:pPr>
        <w:tabs>
          <w:tab w:val="num" w:pos="3932"/>
        </w:tabs>
        <w:ind w:left="3932" w:hanging="360"/>
      </w:pPr>
      <w:rPr>
        <w:rFonts w:ascii="Wingdings" w:hAnsi="Wingdings" w:hint="default"/>
      </w:rPr>
    </w:lvl>
    <w:lvl w:ilvl="6" w:tplc="00010409" w:tentative="1">
      <w:start w:val="1"/>
      <w:numFmt w:val="bullet"/>
      <w:lvlText w:val=""/>
      <w:lvlJc w:val="left"/>
      <w:pPr>
        <w:tabs>
          <w:tab w:val="num" w:pos="4652"/>
        </w:tabs>
        <w:ind w:left="4652" w:hanging="360"/>
      </w:pPr>
      <w:rPr>
        <w:rFonts w:ascii="Symbol" w:hAnsi="Symbol" w:hint="default"/>
      </w:rPr>
    </w:lvl>
    <w:lvl w:ilvl="7" w:tplc="00030409" w:tentative="1">
      <w:start w:val="1"/>
      <w:numFmt w:val="bullet"/>
      <w:lvlText w:val="o"/>
      <w:lvlJc w:val="left"/>
      <w:pPr>
        <w:tabs>
          <w:tab w:val="num" w:pos="5372"/>
        </w:tabs>
        <w:ind w:left="5372" w:hanging="360"/>
      </w:pPr>
      <w:rPr>
        <w:rFonts w:ascii="Courier New" w:hAnsi="Courier New" w:hint="default"/>
      </w:rPr>
    </w:lvl>
    <w:lvl w:ilvl="8" w:tplc="00050409" w:tentative="1">
      <w:start w:val="1"/>
      <w:numFmt w:val="bullet"/>
      <w:lvlText w:val=""/>
      <w:lvlJc w:val="left"/>
      <w:pPr>
        <w:tabs>
          <w:tab w:val="num" w:pos="6092"/>
        </w:tabs>
        <w:ind w:left="6092" w:hanging="360"/>
      </w:pPr>
      <w:rPr>
        <w:rFonts w:ascii="Wingdings" w:hAnsi="Wingdings" w:hint="default"/>
      </w:rPr>
    </w:lvl>
  </w:abstractNum>
  <w:abstractNum w:abstractNumId="12">
    <w:nsid w:val="11995E60"/>
    <w:multiLevelType w:val="hybridMultilevel"/>
    <w:tmpl w:val="8286D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19F43B3"/>
    <w:multiLevelType w:val="hybridMultilevel"/>
    <w:tmpl w:val="F120DDFE"/>
    <w:lvl w:ilvl="0" w:tplc="75025000">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312A7B"/>
    <w:multiLevelType w:val="hybridMultilevel"/>
    <w:tmpl w:val="0B728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E071C6E"/>
    <w:multiLevelType w:val="hybridMultilevel"/>
    <w:tmpl w:val="36582D38"/>
    <w:lvl w:ilvl="0" w:tplc="485C8834">
      <w:start w:val="1"/>
      <w:numFmt w:val="bullet"/>
      <w:lvlText w:val=""/>
      <w:lvlJc w:val="left"/>
      <w:pPr>
        <w:tabs>
          <w:tab w:val="num" w:pos="294"/>
        </w:tabs>
        <w:ind w:left="294" w:hanging="360"/>
      </w:pPr>
      <w:rPr>
        <w:rFonts w:ascii="Symbol" w:hAnsi="Symbol" w:hint="default"/>
      </w:rPr>
    </w:lvl>
    <w:lvl w:ilvl="1" w:tplc="00030409" w:tentative="1">
      <w:start w:val="1"/>
      <w:numFmt w:val="bullet"/>
      <w:lvlText w:val="o"/>
      <w:lvlJc w:val="left"/>
      <w:pPr>
        <w:tabs>
          <w:tab w:val="num" w:pos="1014"/>
        </w:tabs>
        <w:ind w:left="1014" w:hanging="360"/>
      </w:pPr>
      <w:rPr>
        <w:rFonts w:ascii="Courier" w:hAnsi="Courier" w:hint="default"/>
      </w:rPr>
    </w:lvl>
    <w:lvl w:ilvl="2" w:tplc="00050409" w:tentative="1">
      <w:start w:val="1"/>
      <w:numFmt w:val="bullet"/>
      <w:lvlText w:val=""/>
      <w:lvlJc w:val="left"/>
      <w:pPr>
        <w:tabs>
          <w:tab w:val="num" w:pos="1734"/>
        </w:tabs>
        <w:ind w:left="1734" w:hanging="360"/>
      </w:pPr>
      <w:rPr>
        <w:rFonts w:ascii="Symbol" w:hAnsi="Symbol" w:hint="default"/>
      </w:rPr>
    </w:lvl>
    <w:lvl w:ilvl="3" w:tplc="00010409" w:tentative="1">
      <w:start w:val="1"/>
      <w:numFmt w:val="bullet"/>
      <w:lvlText w:val=""/>
      <w:lvlJc w:val="left"/>
      <w:pPr>
        <w:tabs>
          <w:tab w:val="num" w:pos="2454"/>
        </w:tabs>
        <w:ind w:left="2454" w:hanging="360"/>
      </w:pPr>
      <w:rPr>
        <w:rFonts w:ascii="Symbol" w:hAnsi="Symbol" w:hint="default"/>
      </w:rPr>
    </w:lvl>
    <w:lvl w:ilvl="4" w:tplc="00030409" w:tentative="1">
      <w:start w:val="1"/>
      <w:numFmt w:val="bullet"/>
      <w:lvlText w:val="o"/>
      <w:lvlJc w:val="left"/>
      <w:pPr>
        <w:tabs>
          <w:tab w:val="num" w:pos="3174"/>
        </w:tabs>
        <w:ind w:left="3174" w:hanging="360"/>
      </w:pPr>
      <w:rPr>
        <w:rFonts w:ascii="Courier" w:hAnsi="Courier" w:hint="default"/>
      </w:rPr>
    </w:lvl>
    <w:lvl w:ilvl="5" w:tplc="00050409" w:tentative="1">
      <w:start w:val="1"/>
      <w:numFmt w:val="bullet"/>
      <w:lvlText w:val=""/>
      <w:lvlJc w:val="left"/>
      <w:pPr>
        <w:tabs>
          <w:tab w:val="num" w:pos="3894"/>
        </w:tabs>
        <w:ind w:left="3894" w:hanging="360"/>
      </w:pPr>
      <w:rPr>
        <w:rFonts w:ascii="Symbol" w:hAnsi="Symbol" w:hint="default"/>
      </w:rPr>
    </w:lvl>
    <w:lvl w:ilvl="6" w:tplc="00010409" w:tentative="1">
      <w:start w:val="1"/>
      <w:numFmt w:val="bullet"/>
      <w:lvlText w:val=""/>
      <w:lvlJc w:val="left"/>
      <w:pPr>
        <w:tabs>
          <w:tab w:val="num" w:pos="4614"/>
        </w:tabs>
        <w:ind w:left="4614" w:hanging="360"/>
      </w:pPr>
      <w:rPr>
        <w:rFonts w:ascii="Symbol" w:hAnsi="Symbol" w:hint="default"/>
      </w:rPr>
    </w:lvl>
    <w:lvl w:ilvl="7" w:tplc="00030409" w:tentative="1">
      <w:start w:val="1"/>
      <w:numFmt w:val="bullet"/>
      <w:lvlText w:val="o"/>
      <w:lvlJc w:val="left"/>
      <w:pPr>
        <w:tabs>
          <w:tab w:val="num" w:pos="5334"/>
        </w:tabs>
        <w:ind w:left="5334" w:hanging="360"/>
      </w:pPr>
      <w:rPr>
        <w:rFonts w:ascii="Courier" w:hAnsi="Courier" w:hint="default"/>
      </w:rPr>
    </w:lvl>
    <w:lvl w:ilvl="8" w:tplc="00050409" w:tentative="1">
      <w:start w:val="1"/>
      <w:numFmt w:val="bullet"/>
      <w:lvlText w:val=""/>
      <w:lvlJc w:val="left"/>
      <w:pPr>
        <w:tabs>
          <w:tab w:val="num" w:pos="6054"/>
        </w:tabs>
        <w:ind w:left="6054" w:hanging="360"/>
      </w:pPr>
      <w:rPr>
        <w:rFonts w:ascii="Symbol" w:hAnsi="Symbol" w:hint="default"/>
      </w:rPr>
    </w:lvl>
  </w:abstractNum>
  <w:abstractNum w:abstractNumId="16">
    <w:nsid w:val="22EB565A"/>
    <w:multiLevelType w:val="hybridMultilevel"/>
    <w:tmpl w:val="52C6DCAA"/>
    <w:lvl w:ilvl="0" w:tplc="60061D02">
      <w:numFmt w:val="bullet"/>
      <w:lvlText w:val=""/>
      <w:lvlJc w:val="left"/>
      <w:pPr>
        <w:tabs>
          <w:tab w:val="num" w:pos="304"/>
        </w:tabs>
        <w:ind w:left="304" w:hanging="360"/>
      </w:pPr>
      <w:rPr>
        <w:rFonts w:ascii="Symbol" w:eastAsia="Times New Roman" w:hAnsi="Symbol" w:hint="default"/>
        <w:w w:val="0"/>
      </w:rPr>
    </w:lvl>
    <w:lvl w:ilvl="1" w:tplc="00030409" w:tentative="1">
      <w:start w:val="1"/>
      <w:numFmt w:val="bullet"/>
      <w:lvlText w:val="o"/>
      <w:lvlJc w:val="left"/>
      <w:pPr>
        <w:tabs>
          <w:tab w:val="num" w:pos="1412"/>
        </w:tabs>
        <w:ind w:left="1412" w:hanging="360"/>
      </w:pPr>
      <w:rPr>
        <w:rFonts w:ascii="Courier New" w:hAnsi="Courier New" w:hint="default"/>
      </w:rPr>
    </w:lvl>
    <w:lvl w:ilvl="2" w:tplc="00050409" w:tentative="1">
      <w:start w:val="1"/>
      <w:numFmt w:val="bullet"/>
      <w:lvlText w:val=""/>
      <w:lvlJc w:val="left"/>
      <w:pPr>
        <w:tabs>
          <w:tab w:val="num" w:pos="2132"/>
        </w:tabs>
        <w:ind w:left="2132" w:hanging="360"/>
      </w:pPr>
      <w:rPr>
        <w:rFonts w:ascii="Wingdings" w:hAnsi="Wingdings" w:hint="default"/>
      </w:rPr>
    </w:lvl>
    <w:lvl w:ilvl="3" w:tplc="00010409" w:tentative="1">
      <w:start w:val="1"/>
      <w:numFmt w:val="bullet"/>
      <w:lvlText w:val=""/>
      <w:lvlJc w:val="left"/>
      <w:pPr>
        <w:tabs>
          <w:tab w:val="num" w:pos="2852"/>
        </w:tabs>
        <w:ind w:left="2852" w:hanging="360"/>
      </w:pPr>
      <w:rPr>
        <w:rFonts w:ascii="Symbol" w:hAnsi="Symbol" w:hint="default"/>
      </w:rPr>
    </w:lvl>
    <w:lvl w:ilvl="4" w:tplc="00030409" w:tentative="1">
      <w:start w:val="1"/>
      <w:numFmt w:val="bullet"/>
      <w:lvlText w:val="o"/>
      <w:lvlJc w:val="left"/>
      <w:pPr>
        <w:tabs>
          <w:tab w:val="num" w:pos="3572"/>
        </w:tabs>
        <w:ind w:left="3572" w:hanging="360"/>
      </w:pPr>
      <w:rPr>
        <w:rFonts w:ascii="Courier New" w:hAnsi="Courier New" w:hint="default"/>
      </w:rPr>
    </w:lvl>
    <w:lvl w:ilvl="5" w:tplc="00050409" w:tentative="1">
      <w:start w:val="1"/>
      <w:numFmt w:val="bullet"/>
      <w:lvlText w:val=""/>
      <w:lvlJc w:val="left"/>
      <w:pPr>
        <w:tabs>
          <w:tab w:val="num" w:pos="4292"/>
        </w:tabs>
        <w:ind w:left="4292" w:hanging="360"/>
      </w:pPr>
      <w:rPr>
        <w:rFonts w:ascii="Wingdings" w:hAnsi="Wingdings" w:hint="default"/>
      </w:rPr>
    </w:lvl>
    <w:lvl w:ilvl="6" w:tplc="00010409" w:tentative="1">
      <w:start w:val="1"/>
      <w:numFmt w:val="bullet"/>
      <w:lvlText w:val=""/>
      <w:lvlJc w:val="left"/>
      <w:pPr>
        <w:tabs>
          <w:tab w:val="num" w:pos="5012"/>
        </w:tabs>
        <w:ind w:left="5012" w:hanging="360"/>
      </w:pPr>
      <w:rPr>
        <w:rFonts w:ascii="Symbol" w:hAnsi="Symbol" w:hint="default"/>
      </w:rPr>
    </w:lvl>
    <w:lvl w:ilvl="7" w:tplc="00030409" w:tentative="1">
      <w:start w:val="1"/>
      <w:numFmt w:val="bullet"/>
      <w:lvlText w:val="o"/>
      <w:lvlJc w:val="left"/>
      <w:pPr>
        <w:tabs>
          <w:tab w:val="num" w:pos="5732"/>
        </w:tabs>
        <w:ind w:left="5732" w:hanging="360"/>
      </w:pPr>
      <w:rPr>
        <w:rFonts w:ascii="Courier New" w:hAnsi="Courier New" w:hint="default"/>
      </w:rPr>
    </w:lvl>
    <w:lvl w:ilvl="8" w:tplc="00050409" w:tentative="1">
      <w:start w:val="1"/>
      <w:numFmt w:val="bullet"/>
      <w:lvlText w:val=""/>
      <w:lvlJc w:val="left"/>
      <w:pPr>
        <w:tabs>
          <w:tab w:val="num" w:pos="6452"/>
        </w:tabs>
        <w:ind w:left="6452" w:hanging="360"/>
      </w:pPr>
      <w:rPr>
        <w:rFonts w:ascii="Wingdings" w:hAnsi="Wingdings" w:hint="default"/>
      </w:rPr>
    </w:lvl>
  </w:abstractNum>
  <w:abstractNum w:abstractNumId="17">
    <w:nsid w:val="2523596F"/>
    <w:multiLevelType w:val="hybridMultilevel"/>
    <w:tmpl w:val="61AA543A"/>
    <w:lvl w:ilvl="0" w:tplc="8BD4B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056EBD"/>
    <w:multiLevelType w:val="hybridMultilevel"/>
    <w:tmpl w:val="C7221EDE"/>
    <w:lvl w:ilvl="0" w:tplc="ECDA278E">
      <w:numFmt w:val="bullet"/>
      <w:lvlText w:val="-"/>
      <w:lvlJc w:val="left"/>
      <w:pPr>
        <w:ind w:left="862" w:hanging="360"/>
      </w:pPr>
      <w:rPr>
        <w:rFonts w:ascii="Arial" w:eastAsia="Times New Roman"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nsid w:val="32094BA5"/>
    <w:multiLevelType w:val="hybridMultilevel"/>
    <w:tmpl w:val="65EE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28B446C"/>
    <w:multiLevelType w:val="hybridMultilevel"/>
    <w:tmpl w:val="26A4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C305E8"/>
    <w:multiLevelType w:val="hybridMultilevel"/>
    <w:tmpl w:val="6FE64E96"/>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F21DD3"/>
    <w:multiLevelType w:val="hybridMultilevel"/>
    <w:tmpl w:val="F52650F2"/>
    <w:lvl w:ilvl="0" w:tplc="60061D02">
      <w:numFmt w:val="bullet"/>
      <w:lvlText w:val=""/>
      <w:lvlJc w:val="left"/>
      <w:pPr>
        <w:tabs>
          <w:tab w:val="num" w:pos="332"/>
        </w:tabs>
        <w:ind w:left="332" w:hanging="360"/>
      </w:pPr>
      <w:rPr>
        <w:rFonts w:ascii="Symbol" w:eastAsia="Times New Roman" w:hAnsi="Symbol" w:hint="default"/>
        <w:w w:val="0"/>
      </w:rPr>
    </w:lvl>
    <w:lvl w:ilvl="1" w:tplc="00030409">
      <w:start w:val="1"/>
      <w:numFmt w:val="bullet"/>
      <w:lvlText w:val="o"/>
      <w:lvlJc w:val="left"/>
      <w:pPr>
        <w:tabs>
          <w:tab w:val="num" w:pos="1052"/>
        </w:tabs>
        <w:ind w:left="1052" w:hanging="360"/>
      </w:pPr>
      <w:rPr>
        <w:rFonts w:ascii="Courier New" w:hAnsi="Courier New" w:hint="default"/>
      </w:rPr>
    </w:lvl>
    <w:lvl w:ilvl="2" w:tplc="00050409" w:tentative="1">
      <w:start w:val="1"/>
      <w:numFmt w:val="bullet"/>
      <w:lvlText w:val=""/>
      <w:lvlJc w:val="left"/>
      <w:pPr>
        <w:tabs>
          <w:tab w:val="num" w:pos="1772"/>
        </w:tabs>
        <w:ind w:left="1772" w:hanging="360"/>
      </w:pPr>
      <w:rPr>
        <w:rFonts w:ascii="Wingdings" w:hAnsi="Wingdings" w:hint="default"/>
      </w:rPr>
    </w:lvl>
    <w:lvl w:ilvl="3" w:tplc="00010409" w:tentative="1">
      <w:start w:val="1"/>
      <w:numFmt w:val="bullet"/>
      <w:lvlText w:val=""/>
      <w:lvlJc w:val="left"/>
      <w:pPr>
        <w:tabs>
          <w:tab w:val="num" w:pos="2492"/>
        </w:tabs>
        <w:ind w:left="2492" w:hanging="360"/>
      </w:pPr>
      <w:rPr>
        <w:rFonts w:ascii="Symbol" w:hAnsi="Symbol" w:hint="default"/>
      </w:rPr>
    </w:lvl>
    <w:lvl w:ilvl="4" w:tplc="00030409" w:tentative="1">
      <w:start w:val="1"/>
      <w:numFmt w:val="bullet"/>
      <w:lvlText w:val="o"/>
      <w:lvlJc w:val="left"/>
      <w:pPr>
        <w:tabs>
          <w:tab w:val="num" w:pos="3212"/>
        </w:tabs>
        <w:ind w:left="3212" w:hanging="360"/>
      </w:pPr>
      <w:rPr>
        <w:rFonts w:ascii="Courier New" w:hAnsi="Courier New" w:hint="default"/>
      </w:rPr>
    </w:lvl>
    <w:lvl w:ilvl="5" w:tplc="00050409" w:tentative="1">
      <w:start w:val="1"/>
      <w:numFmt w:val="bullet"/>
      <w:lvlText w:val=""/>
      <w:lvlJc w:val="left"/>
      <w:pPr>
        <w:tabs>
          <w:tab w:val="num" w:pos="3932"/>
        </w:tabs>
        <w:ind w:left="3932" w:hanging="360"/>
      </w:pPr>
      <w:rPr>
        <w:rFonts w:ascii="Wingdings" w:hAnsi="Wingdings" w:hint="default"/>
      </w:rPr>
    </w:lvl>
    <w:lvl w:ilvl="6" w:tplc="00010409" w:tentative="1">
      <w:start w:val="1"/>
      <w:numFmt w:val="bullet"/>
      <w:lvlText w:val=""/>
      <w:lvlJc w:val="left"/>
      <w:pPr>
        <w:tabs>
          <w:tab w:val="num" w:pos="4652"/>
        </w:tabs>
        <w:ind w:left="4652" w:hanging="360"/>
      </w:pPr>
      <w:rPr>
        <w:rFonts w:ascii="Symbol" w:hAnsi="Symbol" w:hint="default"/>
      </w:rPr>
    </w:lvl>
    <w:lvl w:ilvl="7" w:tplc="00030409" w:tentative="1">
      <w:start w:val="1"/>
      <w:numFmt w:val="bullet"/>
      <w:lvlText w:val="o"/>
      <w:lvlJc w:val="left"/>
      <w:pPr>
        <w:tabs>
          <w:tab w:val="num" w:pos="5372"/>
        </w:tabs>
        <w:ind w:left="5372" w:hanging="360"/>
      </w:pPr>
      <w:rPr>
        <w:rFonts w:ascii="Courier New" w:hAnsi="Courier New" w:hint="default"/>
      </w:rPr>
    </w:lvl>
    <w:lvl w:ilvl="8" w:tplc="00050409" w:tentative="1">
      <w:start w:val="1"/>
      <w:numFmt w:val="bullet"/>
      <w:lvlText w:val=""/>
      <w:lvlJc w:val="left"/>
      <w:pPr>
        <w:tabs>
          <w:tab w:val="num" w:pos="6092"/>
        </w:tabs>
        <w:ind w:left="6092" w:hanging="360"/>
      </w:pPr>
      <w:rPr>
        <w:rFonts w:ascii="Wingdings" w:hAnsi="Wingdings" w:hint="default"/>
      </w:rPr>
    </w:lvl>
  </w:abstractNum>
  <w:abstractNum w:abstractNumId="23">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DA17191"/>
    <w:multiLevelType w:val="hybridMultilevel"/>
    <w:tmpl w:val="2A764B70"/>
    <w:lvl w:ilvl="0" w:tplc="605C7CBA">
      <w:start w:val="12"/>
      <w:numFmt w:val="bullet"/>
      <w:lvlText w:val=""/>
      <w:lvlJc w:val="left"/>
      <w:pPr>
        <w:tabs>
          <w:tab w:val="num" w:pos="360"/>
        </w:tabs>
        <w:ind w:left="360" w:hanging="360"/>
      </w:pPr>
      <w:rPr>
        <w:rFonts w:ascii="Symbol" w:hAnsi="Symbol" w:hint="default"/>
        <w:sz w:val="16"/>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nsid w:val="5AFB1A3D"/>
    <w:multiLevelType w:val="hybridMultilevel"/>
    <w:tmpl w:val="9CD2D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C8930F1"/>
    <w:multiLevelType w:val="hybridMultilevel"/>
    <w:tmpl w:val="ACE0B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84474E"/>
    <w:multiLevelType w:val="hybridMultilevel"/>
    <w:tmpl w:val="9A02CF4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nsid w:val="69DB39E4"/>
    <w:multiLevelType w:val="hybridMultilevel"/>
    <w:tmpl w:val="43462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D825732"/>
    <w:multiLevelType w:val="hybridMultilevel"/>
    <w:tmpl w:val="B05E8A7E"/>
    <w:lvl w:ilvl="0" w:tplc="FF7A9ED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0693C65"/>
    <w:multiLevelType w:val="hybridMultilevel"/>
    <w:tmpl w:val="B2946B20"/>
    <w:lvl w:ilvl="0" w:tplc="ABCA12E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24F1889"/>
    <w:multiLevelType w:val="hybridMultilevel"/>
    <w:tmpl w:val="09542622"/>
    <w:lvl w:ilvl="0" w:tplc="60061D02">
      <w:numFmt w:val="bullet"/>
      <w:lvlText w:val=""/>
      <w:lvlJc w:val="left"/>
      <w:pPr>
        <w:tabs>
          <w:tab w:val="num" w:pos="304"/>
        </w:tabs>
        <w:ind w:left="304" w:hanging="360"/>
      </w:pPr>
      <w:rPr>
        <w:rFonts w:ascii="Symbol" w:eastAsia="Times New Roman" w:hAnsi="Symbol" w:hint="default"/>
        <w:w w:val="0"/>
      </w:rPr>
    </w:lvl>
    <w:lvl w:ilvl="1" w:tplc="00030409" w:tentative="1">
      <w:start w:val="1"/>
      <w:numFmt w:val="bullet"/>
      <w:lvlText w:val="o"/>
      <w:lvlJc w:val="left"/>
      <w:pPr>
        <w:tabs>
          <w:tab w:val="num" w:pos="1412"/>
        </w:tabs>
        <w:ind w:left="1412" w:hanging="360"/>
      </w:pPr>
      <w:rPr>
        <w:rFonts w:ascii="Courier New" w:hAnsi="Courier New" w:hint="default"/>
      </w:rPr>
    </w:lvl>
    <w:lvl w:ilvl="2" w:tplc="00050409" w:tentative="1">
      <w:start w:val="1"/>
      <w:numFmt w:val="bullet"/>
      <w:lvlText w:val=""/>
      <w:lvlJc w:val="left"/>
      <w:pPr>
        <w:tabs>
          <w:tab w:val="num" w:pos="2132"/>
        </w:tabs>
        <w:ind w:left="2132" w:hanging="360"/>
      </w:pPr>
      <w:rPr>
        <w:rFonts w:ascii="Wingdings" w:hAnsi="Wingdings" w:hint="default"/>
      </w:rPr>
    </w:lvl>
    <w:lvl w:ilvl="3" w:tplc="00010409" w:tentative="1">
      <w:start w:val="1"/>
      <w:numFmt w:val="bullet"/>
      <w:lvlText w:val=""/>
      <w:lvlJc w:val="left"/>
      <w:pPr>
        <w:tabs>
          <w:tab w:val="num" w:pos="2852"/>
        </w:tabs>
        <w:ind w:left="2852" w:hanging="360"/>
      </w:pPr>
      <w:rPr>
        <w:rFonts w:ascii="Symbol" w:hAnsi="Symbol" w:hint="default"/>
      </w:rPr>
    </w:lvl>
    <w:lvl w:ilvl="4" w:tplc="00030409" w:tentative="1">
      <w:start w:val="1"/>
      <w:numFmt w:val="bullet"/>
      <w:lvlText w:val="o"/>
      <w:lvlJc w:val="left"/>
      <w:pPr>
        <w:tabs>
          <w:tab w:val="num" w:pos="3572"/>
        </w:tabs>
        <w:ind w:left="3572" w:hanging="360"/>
      </w:pPr>
      <w:rPr>
        <w:rFonts w:ascii="Courier New" w:hAnsi="Courier New" w:hint="default"/>
      </w:rPr>
    </w:lvl>
    <w:lvl w:ilvl="5" w:tplc="00050409" w:tentative="1">
      <w:start w:val="1"/>
      <w:numFmt w:val="bullet"/>
      <w:lvlText w:val=""/>
      <w:lvlJc w:val="left"/>
      <w:pPr>
        <w:tabs>
          <w:tab w:val="num" w:pos="4292"/>
        </w:tabs>
        <w:ind w:left="4292" w:hanging="360"/>
      </w:pPr>
      <w:rPr>
        <w:rFonts w:ascii="Wingdings" w:hAnsi="Wingdings" w:hint="default"/>
      </w:rPr>
    </w:lvl>
    <w:lvl w:ilvl="6" w:tplc="00010409" w:tentative="1">
      <w:start w:val="1"/>
      <w:numFmt w:val="bullet"/>
      <w:lvlText w:val=""/>
      <w:lvlJc w:val="left"/>
      <w:pPr>
        <w:tabs>
          <w:tab w:val="num" w:pos="5012"/>
        </w:tabs>
        <w:ind w:left="5012" w:hanging="360"/>
      </w:pPr>
      <w:rPr>
        <w:rFonts w:ascii="Symbol" w:hAnsi="Symbol" w:hint="default"/>
      </w:rPr>
    </w:lvl>
    <w:lvl w:ilvl="7" w:tplc="00030409" w:tentative="1">
      <w:start w:val="1"/>
      <w:numFmt w:val="bullet"/>
      <w:lvlText w:val="o"/>
      <w:lvlJc w:val="left"/>
      <w:pPr>
        <w:tabs>
          <w:tab w:val="num" w:pos="5732"/>
        </w:tabs>
        <w:ind w:left="5732" w:hanging="360"/>
      </w:pPr>
      <w:rPr>
        <w:rFonts w:ascii="Courier New" w:hAnsi="Courier New" w:hint="default"/>
      </w:rPr>
    </w:lvl>
    <w:lvl w:ilvl="8" w:tplc="00050409" w:tentative="1">
      <w:start w:val="1"/>
      <w:numFmt w:val="bullet"/>
      <w:lvlText w:val=""/>
      <w:lvlJc w:val="left"/>
      <w:pPr>
        <w:tabs>
          <w:tab w:val="num" w:pos="6452"/>
        </w:tabs>
        <w:ind w:left="6452" w:hanging="360"/>
      </w:pPr>
      <w:rPr>
        <w:rFonts w:ascii="Wingdings" w:hAnsi="Wingdings" w:hint="default"/>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29"/>
  </w:num>
  <w:num w:numId="15">
    <w:abstractNumId w:val="30"/>
  </w:num>
  <w:num w:numId="16">
    <w:abstractNumId w:val="23"/>
  </w:num>
  <w:num w:numId="17">
    <w:abstractNumId w:val="11"/>
  </w:num>
  <w:num w:numId="18">
    <w:abstractNumId w:val="15"/>
  </w:num>
  <w:num w:numId="19">
    <w:abstractNumId w:val="18"/>
  </w:num>
  <w:num w:numId="20">
    <w:abstractNumId w:val="22"/>
  </w:num>
  <w:num w:numId="21">
    <w:abstractNumId w:val="24"/>
  </w:num>
  <w:num w:numId="22">
    <w:abstractNumId w:val="16"/>
  </w:num>
  <w:num w:numId="23">
    <w:abstractNumId w:val="31"/>
  </w:num>
  <w:num w:numId="24">
    <w:abstractNumId w:val="10"/>
  </w:num>
  <w:num w:numId="25">
    <w:abstractNumId w:val="20"/>
  </w:num>
  <w:num w:numId="26">
    <w:abstractNumId w:val="25"/>
  </w:num>
  <w:num w:numId="27">
    <w:abstractNumId w:val="27"/>
  </w:num>
  <w:num w:numId="28">
    <w:abstractNumId w:val="19"/>
  </w:num>
  <w:num w:numId="29">
    <w:abstractNumId w:val="14"/>
  </w:num>
  <w:num w:numId="30">
    <w:abstractNumId w:val="28"/>
  </w:num>
  <w:num w:numId="31">
    <w:abstractNumId w:val="12"/>
  </w:num>
  <w:num w:numId="32">
    <w:abstractNumId w:val="13"/>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D01"/>
  <w:defaultTabStop w:val="720"/>
  <w:characterSpacingControl w:val="doNotCompress"/>
  <w:hdrShapeDefaults>
    <o:shapedefaults v:ext="edit" spidmax="18434">
      <o:colormenu v:ext="edit" strokecolor="yellow"/>
    </o:shapedefaults>
    <o:shapelayout v:ext="edit">
      <o:idmap v:ext="edit" data="2"/>
      <o:rules v:ext="edit">
        <o:r id="V:Rule3" type="connector" idref="#Straight Arrow Connector 9"/>
        <o:r id="V:Rule4" type="connector" idref="#Straight Arrow Connector 8"/>
      </o:rules>
    </o:shapelayout>
  </w:hdrShapeDefaults>
  <w:footnotePr>
    <w:footnote w:id="-1"/>
    <w:footnote w:id="0"/>
  </w:footnotePr>
  <w:endnotePr>
    <w:endnote w:id="-1"/>
    <w:endnote w:id="0"/>
  </w:endnotePr>
  <w:compat/>
  <w:rsids>
    <w:rsidRoot w:val="009974E3"/>
    <w:rsid w:val="00006825"/>
    <w:rsid w:val="00006E7C"/>
    <w:rsid w:val="00024725"/>
    <w:rsid w:val="0003426B"/>
    <w:rsid w:val="00041136"/>
    <w:rsid w:val="00043CE8"/>
    <w:rsid w:val="00057A34"/>
    <w:rsid w:val="00080C39"/>
    <w:rsid w:val="000902BD"/>
    <w:rsid w:val="00091674"/>
    <w:rsid w:val="00091D69"/>
    <w:rsid w:val="00097C8F"/>
    <w:rsid w:val="000A67A1"/>
    <w:rsid w:val="000B3649"/>
    <w:rsid w:val="000B5330"/>
    <w:rsid w:val="000C46CC"/>
    <w:rsid w:val="000C7B60"/>
    <w:rsid w:val="000F6806"/>
    <w:rsid w:val="001007D8"/>
    <w:rsid w:val="00104F68"/>
    <w:rsid w:val="001315B9"/>
    <w:rsid w:val="00131784"/>
    <w:rsid w:val="0013674F"/>
    <w:rsid w:val="001461D7"/>
    <w:rsid w:val="0014640E"/>
    <w:rsid w:val="001541D3"/>
    <w:rsid w:val="0016205F"/>
    <w:rsid w:val="00170C9E"/>
    <w:rsid w:val="00171218"/>
    <w:rsid w:val="00187161"/>
    <w:rsid w:val="001968C4"/>
    <w:rsid w:val="001A3FF2"/>
    <w:rsid w:val="001B7426"/>
    <w:rsid w:val="001C65B1"/>
    <w:rsid w:val="001C7F0A"/>
    <w:rsid w:val="001D2D62"/>
    <w:rsid w:val="001E153A"/>
    <w:rsid w:val="002113BF"/>
    <w:rsid w:val="00226EB5"/>
    <w:rsid w:val="0024104F"/>
    <w:rsid w:val="002557CB"/>
    <w:rsid w:val="002611FB"/>
    <w:rsid w:val="0026123E"/>
    <w:rsid w:val="002645CE"/>
    <w:rsid w:val="00284B6B"/>
    <w:rsid w:val="0028578D"/>
    <w:rsid w:val="002926ED"/>
    <w:rsid w:val="002A2C16"/>
    <w:rsid w:val="002D578C"/>
    <w:rsid w:val="002F34F6"/>
    <w:rsid w:val="002F5FE9"/>
    <w:rsid w:val="00301705"/>
    <w:rsid w:val="00317499"/>
    <w:rsid w:val="00340D4F"/>
    <w:rsid w:val="00355D43"/>
    <w:rsid w:val="003579D3"/>
    <w:rsid w:val="0036056F"/>
    <w:rsid w:val="0038737D"/>
    <w:rsid w:val="00391E02"/>
    <w:rsid w:val="00394732"/>
    <w:rsid w:val="003E5634"/>
    <w:rsid w:val="0041564E"/>
    <w:rsid w:val="00425492"/>
    <w:rsid w:val="004351B0"/>
    <w:rsid w:val="004439F3"/>
    <w:rsid w:val="0044582A"/>
    <w:rsid w:val="00453C5C"/>
    <w:rsid w:val="0045503E"/>
    <w:rsid w:val="00456B7F"/>
    <w:rsid w:val="004703B6"/>
    <w:rsid w:val="004719D0"/>
    <w:rsid w:val="00472DD4"/>
    <w:rsid w:val="0047587C"/>
    <w:rsid w:val="00481E98"/>
    <w:rsid w:val="004A1320"/>
    <w:rsid w:val="004C727C"/>
    <w:rsid w:val="004D4834"/>
    <w:rsid w:val="004E2A75"/>
    <w:rsid w:val="004F2211"/>
    <w:rsid w:val="004F2FF0"/>
    <w:rsid w:val="00500C61"/>
    <w:rsid w:val="00516D64"/>
    <w:rsid w:val="005201E8"/>
    <w:rsid w:val="00544EE1"/>
    <w:rsid w:val="00557A15"/>
    <w:rsid w:val="00574354"/>
    <w:rsid w:val="00575ACD"/>
    <w:rsid w:val="0058378D"/>
    <w:rsid w:val="0058625F"/>
    <w:rsid w:val="00596BEA"/>
    <w:rsid w:val="005A67AE"/>
    <w:rsid w:val="005B127C"/>
    <w:rsid w:val="005B5D58"/>
    <w:rsid w:val="005D7172"/>
    <w:rsid w:val="005E7D2E"/>
    <w:rsid w:val="005F4E6B"/>
    <w:rsid w:val="00605B82"/>
    <w:rsid w:val="0063141E"/>
    <w:rsid w:val="00640740"/>
    <w:rsid w:val="00681D20"/>
    <w:rsid w:val="006B29BB"/>
    <w:rsid w:val="006E2719"/>
    <w:rsid w:val="006E39F6"/>
    <w:rsid w:val="00703664"/>
    <w:rsid w:val="007215F8"/>
    <w:rsid w:val="007518AE"/>
    <w:rsid w:val="007701F6"/>
    <w:rsid w:val="007818C0"/>
    <w:rsid w:val="007B1A62"/>
    <w:rsid w:val="007C7CDA"/>
    <w:rsid w:val="007F1F32"/>
    <w:rsid w:val="007F5F4B"/>
    <w:rsid w:val="00830C48"/>
    <w:rsid w:val="00836B27"/>
    <w:rsid w:val="00845595"/>
    <w:rsid w:val="00852DB5"/>
    <w:rsid w:val="00852E28"/>
    <w:rsid w:val="00861492"/>
    <w:rsid w:val="00877ACD"/>
    <w:rsid w:val="0089267F"/>
    <w:rsid w:val="008B1BAA"/>
    <w:rsid w:val="008E6DD9"/>
    <w:rsid w:val="008F1B19"/>
    <w:rsid w:val="008F5260"/>
    <w:rsid w:val="00903D94"/>
    <w:rsid w:val="009302E7"/>
    <w:rsid w:val="00930442"/>
    <w:rsid w:val="0094357C"/>
    <w:rsid w:val="00946737"/>
    <w:rsid w:val="00957908"/>
    <w:rsid w:val="00965340"/>
    <w:rsid w:val="0096559B"/>
    <w:rsid w:val="0098702E"/>
    <w:rsid w:val="009921BE"/>
    <w:rsid w:val="00995019"/>
    <w:rsid w:val="009974E3"/>
    <w:rsid w:val="009A2AAB"/>
    <w:rsid w:val="009A4D28"/>
    <w:rsid w:val="009B326D"/>
    <w:rsid w:val="009D1B0F"/>
    <w:rsid w:val="009D4604"/>
    <w:rsid w:val="009F119C"/>
    <w:rsid w:val="00A42C85"/>
    <w:rsid w:val="00A44078"/>
    <w:rsid w:val="00A60790"/>
    <w:rsid w:val="00A91D87"/>
    <w:rsid w:val="00A95139"/>
    <w:rsid w:val="00AA04DC"/>
    <w:rsid w:val="00AB5E26"/>
    <w:rsid w:val="00AB7CA9"/>
    <w:rsid w:val="00AC6C23"/>
    <w:rsid w:val="00AE58CF"/>
    <w:rsid w:val="00B00774"/>
    <w:rsid w:val="00B014D7"/>
    <w:rsid w:val="00B25B5F"/>
    <w:rsid w:val="00B46026"/>
    <w:rsid w:val="00B538B1"/>
    <w:rsid w:val="00B63992"/>
    <w:rsid w:val="00B76FF5"/>
    <w:rsid w:val="00B7755F"/>
    <w:rsid w:val="00B86D83"/>
    <w:rsid w:val="00B96500"/>
    <w:rsid w:val="00BA58C9"/>
    <w:rsid w:val="00BB1366"/>
    <w:rsid w:val="00BB42B7"/>
    <w:rsid w:val="00BE7720"/>
    <w:rsid w:val="00C15203"/>
    <w:rsid w:val="00C158B8"/>
    <w:rsid w:val="00C24C7C"/>
    <w:rsid w:val="00C4230E"/>
    <w:rsid w:val="00C457E5"/>
    <w:rsid w:val="00C55D6A"/>
    <w:rsid w:val="00C572CB"/>
    <w:rsid w:val="00C7190A"/>
    <w:rsid w:val="00C7340F"/>
    <w:rsid w:val="00C7755E"/>
    <w:rsid w:val="00CA44F4"/>
    <w:rsid w:val="00CA7AB6"/>
    <w:rsid w:val="00CB0212"/>
    <w:rsid w:val="00CB656C"/>
    <w:rsid w:val="00CC3F2B"/>
    <w:rsid w:val="00CD190A"/>
    <w:rsid w:val="00CE3CED"/>
    <w:rsid w:val="00CE4440"/>
    <w:rsid w:val="00CE6790"/>
    <w:rsid w:val="00CF1CBC"/>
    <w:rsid w:val="00CF3E80"/>
    <w:rsid w:val="00D016EF"/>
    <w:rsid w:val="00D17AE9"/>
    <w:rsid w:val="00D26E8C"/>
    <w:rsid w:val="00D27ADD"/>
    <w:rsid w:val="00D346C6"/>
    <w:rsid w:val="00D457B0"/>
    <w:rsid w:val="00D73689"/>
    <w:rsid w:val="00D84F66"/>
    <w:rsid w:val="00DA697D"/>
    <w:rsid w:val="00DC012E"/>
    <w:rsid w:val="00DC44E8"/>
    <w:rsid w:val="00DD459A"/>
    <w:rsid w:val="00DD6602"/>
    <w:rsid w:val="00DE1FD6"/>
    <w:rsid w:val="00DE3AC7"/>
    <w:rsid w:val="00DE6577"/>
    <w:rsid w:val="00DF241E"/>
    <w:rsid w:val="00E17E2C"/>
    <w:rsid w:val="00E20874"/>
    <w:rsid w:val="00E235A4"/>
    <w:rsid w:val="00E27CE0"/>
    <w:rsid w:val="00E406AC"/>
    <w:rsid w:val="00E40C97"/>
    <w:rsid w:val="00E46642"/>
    <w:rsid w:val="00E61254"/>
    <w:rsid w:val="00E61838"/>
    <w:rsid w:val="00E6501F"/>
    <w:rsid w:val="00E650F5"/>
    <w:rsid w:val="00E711E8"/>
    <w:rsid w:val="00E850AD"/>
    <w:rsid w:val="00E85B24"/>
    <w:rsid w:val="00E93851"/>
    <w:rsid w:val="00E97593"/>
    <w:rsid w:val="00E976B7"/>
    <w:rsid w:val="00EA6FE5"/>
    <w:rsid w:val="00EA7B56"/>
    <w:rsid w:val="00EB0A5B"/>
    <w:rsid w:val="00EB32A6"/>
    <w:rsid w:val="00EB6778"/>
    <w:rsid w:val="00EC029F"/>
    <w:rsid w:val="00EF0EC2"/>
    <w:rsid w:val="00EF17D7"/>
    <w:rsid w:val="00EF5657"/>
    <w:rsid w:val="00F00F80"/>
    <w:rsid w:val="00F1034E"/>
    <w:rsid w:val="00F12E48"/>
    <w:rsid w:val="00F17EE8"/>
    <w:rsid w:val="00F35750"/>
    <w:rsid w:val="00F43789"/>
    <w:rsid w:val="00F51B00"/>
    <w:rsid w:val="00F66758"/>
    <w:rsid w:val="00F87176"/>
    <w:rsid w:val="00F872B9"/>
    <w:rsid w:val="00FB3071"/>
    <w:rsid w:val="00FB554A"/>
    <w:rsid w:val="00FC12A8"/>
    <w:rsid w:val="00FC27B9"/>
    <w:rsid w:val="00FC2D93"/>
    <w:rsid w:val="00FD59D8"/>
    <w:rsid w:val="00FF6A0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4C7C"/>
    <w:pPr>
      <w:keepNext/>
      <w:keepLines/>
      <w:spacing w:before="200" w:after="0" w:line="240" w:lineRule="auto"/>
      <w:outlineLvl w:val="1"/>
    </w:pPr>
    <w:rPr>
      <w:rFonts w:ascii="Cambria" w:eastAsia="Times New Roman" w:hAnsi="Cambria" w:cs="Times New Roman"/>
      <w:b/>
      <w:bCs/>
      <w:color w:val="4F81BD"/>
      <w:sz w:val="26"/>
      <w:szCs w:val="26"/>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9974E3"/>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453C5C"/>
    <w:pPr>
      <w:spacing w:before="240"/>
      <w:jc w:val="center"/>
      <w:outlineLvl w:val="0"/>
    </w:pPr>
    <w:rPr>
      <w:rFonts w:asciiTheme="minorHAnsi" w:eastAsiaTheme="minorEastAsia" w:hAnsiTheme="minorHAnsi" w:cstheme="minorBidi"/>
      <w:b/>
      <w:color w:val="C00000"/>
      <w:sz w:val="28"/>
      <w:szCs w:val="28"/>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453C5C"/>
    <w:rPr>
      <w:rFonts w:asciiTheme="minorHAnsi" w:eastAsiaTheme="minorEastAsia" w:hAnsiTheme="minorHAnsi" w:cstheme="minorBidi"/>
      <w:b/>
      <w:color w:val="C00000"/>
      <w:sz w:val="28"/>
      <w:szCs w:val="28"/>
      <w:lang w:val="en-US" w:eastAsia="en-US" w:bidi="en-US"/>
    </w:rPr>
  </w:style>
  <w:style w:type="paragraph" w:customStyle="1" w:styleId="ASRHeading2">
    <w:name w:val="ASR Heading 2"/>
    <w:basedOn w:val="Normal"/>
    <w:qFormat/>
    <w:rsid w:val="002113BF"/>
    <w:pPr>
      <w:spacing w:before="240" w:after="0" w:line="240" w:lineRule="auto"/>
    </w:pPr>
    <w:rPr>
      <w:b/>
      <w:color w:val="000000" w:themeColor="text1"/>
      <w:sz w:val="28"/>
    </w:rPr>
  </w:style>
  <w:style w:type="paragraph" w:customStyle="1" w:styleId="ASRHeading3">
    <w:name w:val="ASR Heading 3"/>
    <w:basedOn w:val="Normal"/>
    <w:link w:val="ASRHeading3Char"/>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qFormat/>
    <w:rsid w:val="00C7190A"/>
    <w:pPr>
      <w:numPr>
        <w:numId w:val="1"/>
      </w:numPr>
      <w:spacing w:before="120" w:after="120" w:line="240" w:lineRule="auto"/>
      <w:jc w:val="both"/>
    </w:pPr>
  </w:style>
  <w:style w:type="paragraph" w:customStyle="1" w:styleId="ASRHeading4">
    <w:name w:val="ASR Heading 4"/>
    <w:basedOn w:val="Normal"/>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character" w:customStyle="1" w:styleId="ASRHeading3Char">
    <w:name w:val="ASR Heading 3 Char"/>
    <w:basedOn w:val="DefaultParagraphFont"/>
    <w:link w:val="ASRHeading3"/>
    <w:rsid w:val="001541D3"/>
    <w:rPr>
      <w:rFonts w:ascii="Calibri" w:eastAsiaTheme="minorEastAsia" w:hAnsi="Calibri" w:cstheme="minorBidi"/>
      <w:b/>
      <w:bCs/>
      <w:sz w:val="24"/>
      <w:szCs w:val="24"/>
      <w:lang w:val="en-US" w:eastAsia="en-US" w:bidi="en-US"/>
    </w:rPr>
  </w:style>
  <w:style w:type="paragraph" w:customStyle="1" w:styleId="Targets">
    <w:name w:val="Targets"/>
    <w:basedOn w:val="ASRBodyText"/>
    <w:rsid w:val="00AB5E26"/>
    <w:pPr>
      <w:spacing w:after="0"/>
    </w:pPr>
    <w:rPr>
      <w:rFonts w:ascii="Arial" w:eastAsia="Times New Roman" w:hAnsi="Arial"/>
      <w:b/>
      <w:i/>
      <w:iCs/>
      <w:color w:val="000000"/>
      <w:sz w:val="20"/>
      <w:szCs w:val="20"/>
      <w:lang w:eastAsia="en-AU"/>
    </w:rPr>
  </w:style>
  <w:style w:type="paragraph" w:customStyle="1" w:styleId="ASRListBullet1">
    <w:name w:val="ASR List Bullet 1"/>
    <w:basedOn w:val="ASRBodyText"/>
    <w:link w:val="ASRListBullet1Char"/>
    <w:qFormat/>
    <w:rsid w:val="00AB5E26"/>
    <w:pPr>
      <w:ind w:left="378" w:hanging="360"/>
    </w:pPr>
  </w:style>
  <w:style w:type="character" w:customStyle="1" w:styleId="ASRListBullet1Char">
    <w:name w:val="ASR List Bullet 1 Char"/>
    <w:basedOn w:val="ASRBodyTextChar"/>
    <w:link w:val="ASRListBullet1"/>
    <w:rsid w:val="00AB5E26"/>
  </w:style>
  <w:style w:type="paragraph" w:styleId="ListParagraph">
    <w:name w:val="List Paragraph"/>
    <w:basedOn w:val="Normal"/>
    <w:uiPriority w:val="34"/>
    <w:qFormat/>
    <w:rsid w:val="00AB5E26"/>
    <w:pPr>
      <w:ind w:left="720"/>
      <w:contextualSpacing/>
    </w:pPr>
  </w:style>
  <w:style w:type="paragraph" w:customStyle="1" w:styleId="Schoolcontactinformation">
    <w:name w:val="School contact information"/>
    <w:basedOn w:val="ASRBodyText"/>
    <w:semiHidden/>
    <w:rsid w:val="00F87176"/>
    <w:pPr>
      <w:spacing w:after="0"/>
    </w:pPr>
    <w:rPr>
      <w:rFonts w:ascii="Arial" w:eastAsia="Times New Roman" w:hAnsi="Arial" w:cs="Times New Roman"/>
      <w:b/>
      <w:iCs/>
      <w:color w:val="000000"/>
      <w:szCs w:val="20"/>
      <w:lang w:val="en-AU" w:eastAsia="en-AU" w:bidi="ar-SA"/>
    </w:rPr>
  </w:style>
  <w:style w:type="paragraph" w:customStyle="1" w:styleId="Default">
    <w:name w:val="Default"/>
    <w:rsid w:val="00171218"/>
    <w:pPr>
      <w:autoSpaceDE w:val="0"/>
      <w:autoSpaceDN w:val="0"/>
      <w:adjustRightInd w:val="0"/>
    </w:pPr>
    <w:rPr>
      <w:rFonts w:ascii="Arial" w:eastAsiaTheme="minorHAnsi" w:hAnsi="Arial" w:cs="Arial"/>
      <w:color w:val="000000"/>
      <w:sz w:val="24"/>
      <w:szCs w:val="24"/>
      <w:lang w:eastAsia="en-US"/>
    </w:rPr>
  </w:style>
  <w:style w:type="character" w:customStyle="1" w:styleId="A11">
    <w:name w:val="A11"/>
    <w:rsid w:val="00C24C7C"/>
    <w:rPr>
      <w:rFonts w:ascii="Cambria" w:hAnsi="Cambria" w:cs="Cambria"/>
      <w:color w:val="000000"/>
      <w:sz w:val="22"/>
      <w:szCs w:val="22"/>
    </w:rPr>
  </w:style>
  <w:style w:type="character" w:customStyle="1" w:styleId="Heading2Char">
    <w:name w:val="Heading 2 Char"/>
    <w:basedOn w:val="DefaultParagraphFont"/>
    <w:link w:val="Heading2"/>
    <w:uiPriority w:val="9"/>
    <w:rsid w:val="00C24C7C"/>
    <w:rPr>
      <w:rFonts w:ascii="Cambria" w:hAnsi="Cambria"/>
      <w:b/>
      <w:bCs/>
      <w:color w:val="4F81BD"/>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9974E3"/>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703664"/>
    <w:pPr>
      <w:spacing w:before="240"/>
    </w:pPr>
    <w:rPr>
      <w:rFonts w:asciiTheme="minorHAnsi" w:eastAsiaTheme="minorEastAsia" w:hAnsiTheme="minorHAnsi" w:cstheme="minorBidi"/>
      <w:b/>
      <w:color w:val="C00000"/>
      <w:sz w:val="32"/>
      <w:szCs w:val="22"/>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703664"/>
    <w:rPr>
      <w:rFonts w:asciiTheme="minorHAnsi" w:eastAsiaTheme="minorEastAsia" w:hAnsiTheme="minorHAnsi" w:cstheme="minorBidi"/>
      <w:b/>
      <w:color w:val="C00000"/>
      <w:sz w:val="32"/>
      <w:szCs w:val="22"/>
      <w:lang w:val="en-US" w:eastAsia="en-US" w:bidi="en-US"/>
    </w:rPr>
  </w:style>
  <w:style w:type="paragraph" w:customStyle="1" w:styleId="ASRHeading2">
    <w:name w:val="ASR Heading 2"/>
    <w:basedOn w:val="Normal"/>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qFormat/>
    <w:rsid w:val="00C7190A"/>
    <w:pPr>
      <w:numPr>
        <w:numId w:val="1"/>
      </w:numPr>
      <w:spacing w:before="120" w:after="120" w:line="240" w:lineRule="auto"/>
      <w:ind w:left="357" w:hanging="357"/>
      <w:jc w:val="both"/>
    </w:pPr>
  </w:style>
  <w:style w:type="paragraph" w:customStyle="1" w:styleId="ASRHeading4">
    <w:name w:val="ASR Heading 4"/>
    <w:basedOn w:val="Normal"/>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0856875">
      <w:bodyDiv w:val="1"/>
      <w:marLeft w:val="0"/>
      <w:marRight w:val="0"/>
      <w:marTop w:val="0"/>
      <w:marBottom w:val="0"/>
      <w:divBdr>
        <w:top w:val="none" w:sz="0" w:space="0" w:color="auto"/>
        <w:left w:val="none" w:sz="0" w:space="0" w:color="auto"/>
        <w:bottom w:val="none" w:sz="0" w:space="0" w:color="auto"/>
        <w:right w:val="none" w:sz="0" w:space="0" w:color="auto"/>
      </w:divBdr>
    </w:div>
    <w:div w:id="628318662">
      <w:bodyDiv w:val="1"/>
      <w:marLeft w:val="0"/>
      <w:marRight w:val="0"/>
      <w:marTop w:val="0"/>
      <w:marBottom w:val="0"/>
      <w:divBdr>
        <w:top w:val="none" w:sz="0" w:space="0" w:color="auto"/>
        <w:left w:val="none" w:sz="0" w:space="0" w:color="auto"/>
        <w:bottom w:val="none" w:sz="0" w:space="0" w:color="auto"/>
        <w:right w:val="none" w:sz="0" w:space="0" w:color="auto"/>
      </w:divBdr>
    </w:div>
    <w:div w:id="1069884093">
      <w:bodyDiv w:val="1"/>
      <w:marLeft w:val="0"/>
      <w:marRight w:val="0"/>
      <w:marTop w:val="0"/>
      <w:marBottom w:val="0"/>
      <w:divBdr>
        <w:top w:val="none" w:sz="0" w:space="0" w:color="auto"/>
        <w:left w:val="none" w:sz="0" w:space="0" w:color="auto"/>
        <w:bottom w:val="none" w:sz="0" w:space="0" w:color="auto"/>
        <w:right w:val="none" w:sz="0" w:space="0" w:color="auto"/>
      </w:divBdr>
    </w:div>
    <w:div w:id="1289818329">
      <w:bodyDiv w:val="1"/>
      <w:marLeft w:val="0"/>
      <w:marRight w:val="0"/>
      <w:marTop w:val="0"/>
      <w:marBottom w:val="0"/>
      <w:divBdr>
        <w:top w:val="none" w:sz="0" w:space="0" w:color="auto"/>
        <w:left w:val="none" w:sz="0" w:space="0" w:color="auto"/>
        <w:bottom w:val="none" w:sz="0" w:space="0" w:color="auto"/>
        <w:right w:val="none" w:sz="0" w:space="0" w:color="auto"/>
      </w:divBdr>
    </w:div>
    <w:div w:id="1348017228">
      <w:bodyDiv w:val="1"/>
      <w:marLeft w:val="0"/>
      <w:marRight w:val="0"/>
      <w:marTop w:val="0"/>
      <w:marBottom w:val="0"/>
      <w:divBdr>
        <w:top w:val="none" w:sz="0" w:space="0" w:color="auto"/>
        <w:left w:val="none" w:sz="0" w:space="0" w:color="auto"/>
        <w:bottom w:val="none" w:sz="0" w:space="0" w:color="auto"/>
        <w:right w:val="none" w:sz="0" w:space="0" w:color="auto"/>
      </w:divBdr>
    </w:div>
    <w:div w:id="1389305054">
      <w:bodyDiv w:val="1"/>
      <w:marLeft w:val="0"/>
      <w:marRight w:val="0"/>
      <w:marTop w:val="0"/>
      <w:marBottom w:val="0"/>
      <w:divBdr>
        <w:top w:val="none" w:sz="0" w:space="0" w:color="auto"/>
        <w:left w:val="none" w:sz="0" w:space="0" w:color="auto"/>
        <w:bottom w:val="none" w:sz="0" w:space="0" w:color="auto"/>
        <w:right w:val="none" w:sz="0" w:space="0" w:color="auto"/>
      </w:divBdr>
    </w:div>
    <w:div w:id="1396971971">
      <w:bodyDiv w:val="1"/>
      <w:marLeft w:val="0"/>
      <w:marRight w:val="0"/>
      <w:marTop w:val="0"/>
      <w:marBottom w:val="0"/>
      <w:divBdr>
        <w:top w:val="none" w:sz="0" w:space="0" w:color="auto"/>
        <w:left w:val="none" w:sz="0" w:space="0" w:color="auto"/>
        <w:bottom w:val="none" w:sz="0" w:space="0" w:color="auto"/>
        <w:right w:val="none" w:sz="0" w:space="0" w:color="auto"/>
      </w:divBdr>
    </w:div>
    <w:div w:id="1402216706">
      <w:bodyDiv w:val="1"/>
      <w:marLeft w:val="0"/>
      <w:marRight w:val="0"/>
      <w:marTop w:val="0"/>
      <w:marBottom w:val="0"/>
      <w:divBdr>
        <w:top w:val="none" w:sz="0" w:space="0" w:color="auto"/>
        <w:left w:val="none" w:sz="0" w:space="0" w:color="auto"/>
        <w:bottom w:val="none" w:sz="0" w:space="0" w:color="auto"/>
        <w:right w:val="none" w:sz="0" w:space="0" w:color="auto"/>
      </w:divBdr>
    </w:div>
    <w:div w:id="1782609331">
      <w:bodyDiv w:val="1"/>
      <w:marLeft w:val="0"/>
      <w:marRight w:val="0"/>
      <w:marTop w:val="0"/>
      <w:marBottom w:val="0"/>
      <w:divBdr>
        <w:top w:val="none" w:sz="0" w:space="0" w:color="auto"/>
        <w:left w:val="none" w:sz="0" w:space="0" w:color="auto"/>
        <w:bottom w:val="none" w:sz="0" w:space="0" w:color="auto"/>
        <w:right w:val="none" w:sz="0" w:space="0" w:color="auto"/>
      </w:divBdr>
    </w:div>
    <w:div w:id="197270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2.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hyperlink" Target="http://www.schools.nsw.edu.au/as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6.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chart" Target="charts/chart8.xml"/><Relationship Id="rId32" Type="http://schemas.openxmlformats.org/officeDocument/2006/relationships/image" Target="media/image15.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chart" Target="charts/chart10.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image" Target="media/image13.jpe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Staffuser\Desktop\533_1246_Primary-Data-Sheet_2011_Blackheath-Public-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050" baseline="0"/>
            </a:pPr>
            <a:r>
              <a:rPr lang="en-AU" sz="1050" baseline="0"/>
              <a:t>Enrolments</a:t>
            </a:r>
          </a:p>
        </c:rich>
      </c:tx>
    </c:title>
    <c:plotArea>
      <c:layout>
        <c:manualLayout>
          <c:layoutTarget val="inner"/>
          <c:xMode val="edge"/>
          <c:yMode val="edge"/>
          <c:x val="0.19968527494730326"/>
          <c:y val="0.16781902980960178"/>
          <c:w val="0.75919324182993841"/>
          <c:h val="0.58206469974385289"/>
        </c:manualLayout>
      </c:layout>
      <c:barChart>
        <c:barDir val="col"/>
        <c:grouping val="stacked"/>
        <c:ser>
          <c:idx val="0"/>
          <c:order val="0"/>
          <c:tx>
            <c:strRef>
              <c:f>'Tables and Graphs'!$DR$6</c:f>
              <c:strCache>
                <c:ptCount val="1"/>
                <c:pt idx="0">
                  <c:v>Male</c:v>
                </c:pt>
              </c:strCache>
            </c:strRef>
          </c:tx>
          <c:spPr>
            <a:solidFill>
              <a:schemeClr val="accent1">
                <a:lumMod val="60000"/>
                <a:lumOff val="40000"/>
              </a:schemeClr>
            </a:solidFill>
            <a:ln>
              <a:solidFill>
                <a:schemeClr val="tx1"/>
              </a:solidFill>
            </a:ln>
          </c:spPr>
          <c:cat>
            <c:numRef>
              <c:f>'Tables and Graphs'!$DS$5:$DW$5</c:f>
              <c:numCache>
                <c:formatCode>General</c:formatCode>
                <c:ptCount val="5"/>
                <c:pt idx="0">
                  <c:v>2007</c:v>
                </c:pt>
                <c:pt idx="1">
                  <c:v>2008</c:v>
                </c:pt>
                <c:pt idx="2">
                  <c:v>2009</c:v>
                </c:pt>
                <c:pt idx="3">
                  <c:v>2010</c:v>
                </c:pt>
                <c:pt idx="4">
                  <c:v>2011</c:v>
                </c:pt>
              </c:numCache>
            </c:numRef>
          </c:cat>
          <c:val>
            <c:numRef>
              <c:f>'Tables and Graphs'!$DS$6:$DW$6</c:f>
              <c:numCache>
                <c:formatCode>General</c:formatCode>
                <c:ptCount val="5"/>
                <c:pt idx="0">
                  <c:v>135</c:v>
                </c:pt>
                <c:pt idx="1">
                  <c:v>132</c:v>
                </c:pt>
                <c:pt idx="2">
                  <c:v>137</c:v>
                </c:pt>
                <c:pt idx="3">
                  <c:v>134</c:v>
                </c:pt>
                <c:pt idx="4">
                  <c:v>136</c:v>
                </c:pt>
              </c:numCache>
            </c:numRef>
          </c:val>
        </c:ser>
        <c:ser>
          <c:idx val="1"/>
          <c:order val="1"/>
          <c:tx>
            <c:strRef>
              <c:f>'Tables and Graphs'!$DR$7</c:f>
              <c:strCache>
                <c:ptCount val="1"/>
                <c:pt idx="0">
                  <c:v>Female</c:v>
                </c:pt>
              </c:strCache>
            </c:strRef>
          </c:tx>
          <c:spPr>
            <a:solidFill>
              <a:schemeClr val="accent2">
                <a:lumMod val="60000"/>
                <a:lumOff val="40000"/>
              </a:schemeClr>
            </a:solidFill>
            <a:ln>
              <a:solidFill>
                <a:schemeClr val="tx1"/>
              </a:solidFill>
            </a:ln>
          </c:spPr>
          <c:cat>
            <c:numRef>
              <c:f>'Tables and Graphs'!$DS$5:$DW$5</c:f>
              <c:numCache>
                <c:formatCode>General</c:formatCode>
                <c:ptCount val="5"/>
                <c:pt idx="0">
                  <c:v>2007</c:v>
                </c:pt>
                <c:pt idx="1">
                  <c:v>2008</c:v>
                </c:pt>
                <c:pt idx="2">
                  <c:v>2009</c:v>
                </c:pt>
                <c:pt idx="3">
                  <c:v>2010</c:v>
                </c:pt>
                <c:pt idx="4">
                  <c:v>2011</c:v>
                </c:pt>
              </c:numCache>
            </c:numRef>
          </c:cat>
          <c:val>
            <c:numRef>
              <c:f>'Tables and Graphs'!$DS$7:$DW$7</c:f>
              <c:numCache>
                <c:formatCode>General</c:formatCode>
                <c:ptCount val="5"/>
                <c:pt idx="0">
                  <c:v>130</c:v>
                </c:pt>
                <c:pt idx="1">
                  <c:v>143</c:v>
                </c:pt>
                <c:pt idx="2">
                  <c:v>142</c:v>
                </c:pt>
                <c:pt idx="3">
                  <c:v>152</c:v>
                </c:pt>
                <c:pt idx="4">
                  <c:v>156</c:v>
                </c:pt>
              </c:numCache>
            </c:numRef>
          </c:val>
        </c:ser>
        <c:overlap val="100"/>
        <c:axId val="144790656"/>
        <c:axId val="144792576"/>
      </c:barChart>
      <c:catAx>
        <c:axId val="144790656"/>
        <c:scaling>
          <c:orientation val="minMax"/>
        </c:scaling>
        <c:axPos val="b"/>
        <c:title>
          <c:tx>
            <c:rich>
              <a:bodyPr/>
              <a:lstStyle/>
              <a:p>
                <a:pPr>
                  <a:defRPr/>
                </a:pPr>
                <a:r>
                  <a:rPr lang="en-AU"/>
                  <a:t>Year</a:t>
                </a:r>
              </a:p>
            </c:rich>
          </c:tx>
          <c:layout>
            <c:manualLayout>
              <c:xMode val="edge"/>
              <c:yMode val="edge"/>
              <c:x val="0.53336250862240375"/>
              <c:y val="0.84169889004839427"/>
            </c:manualLayout>
          </c:layout>
        </c:title>
        <c:numFmt formatCode="General" sourceLinked="1"/>
        <c:tickLblPos val="nextTo"/>
        <c:txPr>
          <a:bodyPr/>
          <a:lstStyle/>
          <a:p>
            <a:pPr>
              <a:defRPr sz="1000" b="0"/>
            </a:pPr>
            <a:endParaRPr lang="en-US"/>
          </a:p>
        </c:txPr>
        <c:crossAx val="144792576"/>
        <c:crosses val="autoZero"/>
        <c:auto val="1"/>
        <c:lblAlgn val="ctr"/>
        <c:lblOffset val="100"/>
      </c:catAx>
      <c:valAx>
        <c:axId val="144792576"/>
        <c:scaling>
          <c:orientation val="minMax"/>
          <c:min val="0"/>
        </c:scaling>
        <c:axPos val="l"/>
        <c:majorGridlines/>
        <c:title>
          <c:tx>
            <c:rich>
              <a:bodyPr rot="-5400000" vert="horz"/>
              <a:lstStyle/>
              <a:p>
                <a:pPr>
                  <a:defRPr sz="1100" baseline="0"/>
                </a:pPr>
                <a:r>
                  <a:rPr lang="en-AU" sz="1100" baseline="0"/>
                  <a:t>Students</a:t>
                </a:r>
              </a:p>
            </c:rich>
          </c:tx>
          <c:layout>
            <c:manualLayout>
              <c:xMode val="edge"/>
              <c:yMode val="edge"/>
              <c:x val="1.5388359435504798E-3"/>
              <c:y val="0.34686310596717917"/>
            </c:manualLayout>
          </c:layout>
        </c:title>
        <c:numFmt formatCode="General" sourceLinked="1"/>
        <c:tickLblPos val="nextTo"/>
        <c:txPr>
          <a:bodyPr/>
          <a:lstStyle/>
          <a:p>
            <a:pPr>
              <a:defRPr b="0"/>
            </a:pPr>
            <a:endParaRPr lang="en-US"/>
          </a:p>
        </c:txPr>
        <c:crossAx val="144790656"/>
        <c:crosses val="autoZero"/>
        <c:crossBetween val="between"/>
      </c:valAx>
    </c:plotArea>
    <c:legend>
      <c:legendPos val="b"/>
      <c:layout>
        <c:manualLayout>
          <c:xMode val="edge"/>
          <c:yMode val="edge"/>
          <c:x val="0.2944285937096715"/>
          <c:y val="0.91767270657432964"/>
          <c:w val="0.38758262251527797"/>
          <c:h val="6.3050184991936889E-2"/>
        </c:manualLayout>
      </c:layout>
      <c:txPr>
        <a:bodyPr/>
        <a:lstStyle/>
        <a:p>
          <a:pPr>
            <a:defRPr sz="1000" b="1" baseline="0"/>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000" baseline="0"/>
            </a:pPr>
            <a:r>
              <a:rPr lang="en-AU" sz="1000" baseline="0"/>
              <a:t>Average progress in Grammar &amp; Punctuation between Year 3 and 5</a:t>
            </a:r>
          </a:p>
        </c:rich>
      </c:tx>
    </c:title>
    <c:plotArea>
      <c:layout>
        <c:manualLayout>
          <c:layoutTarget val="inner"/>
          <c:xMode val="edge"/>
          <c:yMode val="edge"/>
          <c:x val="0.24029996250468691"/>
          <c:y val="0.28900226792227979"/>
          <c:w val="0.70604138768369062"/>
          <c:h val="0.46187933177766444"/>
        </c:manualLayout>
      </c:layout>
      <c:barChart>
        <c:barDir val="col"/>
        <c:grouping val="clustered"/>
        <c:ser>
          <c:idx val="0"/>
          <c:order val="0"/>
          <c:tx>
            <c:strRef>
              <c:f>'Tables and Graphs'!$CK$28</c:f>
              <c:strCache>
                <c:ptCount val="1"/>
                <c:pt idx="0">
                  <c:v>School</c:v>
                </c:pt>
              </c:strCache>
            </c:strRef>
          </c:tx>
          <c:spPr>
            <a:solidFill>
              <a:srgbClr val="C0504D">
                <a:lumMod val="60000"/>
                <a:lumOff val="40000"/>
              </a:srgbClr>
            </a:solidFill>
            <a:ln>
              <a:solidFill>
                <a:sysClr val="windowText" lastClr="000000"/>
              </a:solidFill>
            </a:ln>
          </c:spPr>
          <c:cat>
            <c:strRef>
              <c:f>'Tables and Graphs'!$CH$9:$CI$9</c:f>
              <c:strCache>
                <c:ptCount val="2"/>
                <c:pt idx="0">
                  <c:v>2008-2010</c:v>
                </c:pt>
                <c:pt idx="1">
                  <c:v>2009-2011</c:v>
                </c:pt>
              </c:strCache>
            </c:strRef>
          </c:cat>
          <c:val>
            <c:numRef>
              <c:f>'Tables and Graphs'!$CL$28:$CM$28</c:f>
              <c:numCache>
                <c:formatCode>0.0</c:formatCode>
                <c:ptCount val="2"/>
                <c:pt idx="0">
                  <c:v>88.69</c:v>
                </c:pt>
                <c:pt idx="1">
                  <c:v>92.07</c:v>
                </c:pt>
              </c:numCache>
            </c:numRef>
          </c:val>
        </c:ser>
        <c:ser>
          <c:idx val="1"/>
          <c:order val="1"/>
          <c:tx>
            <c:strRef>
              <c:f>'Tables and Graphs'!$CK$29</c:f>
              <c:strCache>
                <c:ptCount val="1"/>
                <c:pt idx="0">
                  <c:v>SSG</c:v>
                </c:pt>
              </c:strCache>
            </c:strRef>
          </c:tx>
          <c:spPr>
            <a:solidFill>
              <a:schemeClr val="accent3">
                <a:lumMod val="60000"/>
                <a:lumOff val="40000"/>
              </a:schemeClr>
            </a:solidFill>
            <a:ln>
              <a:solidFill>
                <a:schemeClr val="tx1"/>
              </a:solidFill>
            </a:ln>
          </c:spPr>
          <c:cat>
            <c:strRef>
              <c:f>'Tables and Graphs'!$CH$9:$CI$9</c:f>
              <c:strCache>
                <c:ptCount val="2"/>
                <c:pt idx="0">
                  <c:v>2008-2010</c:v>
                </c:pt>
                <c:pt idx="1">
                  <c:v>2009-2011</c:v>
                </c:pt>
              </c:strCache>
            </c:strRef>
          </c:cat>
          <c:val>
            <c:numRef>
              <c:f>'Tables and Graphs'!$CL$29:$CM$29</c:f>
              <c:numCache>
                <c:formatCode>0.0</c:formatCode>
                <c:ptCount val="2"/>
                <c:pt idx="0">
                  <c:v>103.9</c:v>
                </c:pt>
                <c:pt idx="1">
                  <c:v>80.900000000000006</c:v>
                </c:pt>
              </c:numCache>
            </c:numRef>
          </c:val>
        </c:ser>
        <c:ser>
          <c:idx val="2"/>
          <c:order val="2"/>
          <c:tx>
            <c:strRef>
              <c:f>'Tables and Graphs'!$CK$30</c:f>
              <c:strCache>
                <c:ptCount val="1"/>
                <c:pt idx="0">
                  <c:v>State DEC</c:v>
                </c:pt>
              </c:strCache>
            </c:strRef>
          </c:tx>
          <c:spPr>
            <a:solidFill>
              <a:schemeClr val="tx2">
                <a:lumMod val="40000"/>
                <a:lumOff val="60000"/>
              </a:schemeClr>
            </a:solidFill>
            <a:ln>
              <a:solidFill>
                <a:prstClr val="black"/>
              </a:solidFill>
            </a:ln>
          </c:spPr>
          <c:val>
            <c:numRef>
              <c:f>'Tables and Graphs'!$CL$30:$CM$30</c:f>
              <c:numCache>
                <c:formatCode>0.0</c:formatCode>
                <c:ptCount val="2"/>
                <c:pt idx="0">
                  <c:v>96.584000000000003</c:v>
                </c:pt>
                <c:pt idx="1">
                  <c:v>82.655999999999949</c:v>
                </c:pt>
              </c:numCache>
            </c:numRef>
          </c:val>
        </c:ser>
        <c:axId val="144448896"/>
        <c:axId val="144524416"/>
      </c:barChart>
      <c:catAx>
        <c:axId val="144448896"/>
        <c:scaling>
          <c:orientation val="minMax"/>
        </c:scaling>
        <c:axPos val="b"/>
        <c:tickLblPos val="nextTo"/>
        <c:txPr>
          <a:bodyPr/>
          <a:lstStyle/>
          <a:p>
            <a:pPr>
              <a:defRPr sz="900" b="1" baseline="0"/>
            </a:pPr>
            <a:endParaRPr lang="en-US"/>
          </a:p>
        </c:txPr>
        <c:crossAx val="144524416"/>
        <c:crosses val="autoZero"/>
        <c:auto val="1"/>
        <c:lblAlgn val="ctr"/>
        <c:lblOffset val="100"/>
      </c:catAx>
      <c:valAx>
        <c:axId val="144524416"/>
        <c:scaling>
          <c:orientation val="minMax"/>
          <c:min val="0"/>
        </c:scaling>
        <c:axPos val="l"/>
        <c:majorGridlines/>
        <c:title>
          <c:tx>
            <c:rich>
              <a:bodyPr rot="-5400000" vert="horz"/>
              <a:lstStyle/>
              <a:p>
                <a:pPr>
                  <a:defRPr/>
                </a:pPr>
                <a:r>
                  <a:rPr lang="en-AU"/>
                  <a:t>Progress</a:t>
                </a:r>
              </a:p>
            </c:rich>
          </c:tx>
          <c:layout>
            <c:manualLayout>
              <c:xMode val="edge"/>
              <c:yMode val="edge"/>
              <c:x val="5.1029335618761856E-2"/>
              <c:y val="0.38202142081437862"/>
            </c:manualLayout>
          </c:layout>
        </c:title>
        <c:numFmt formatCode="0" sourceLinked="0"/>
        <c:tickLblPos val="nextTo"/>
        <c:txPr>
          <a:bodyPr/>
          <a:lstStyle/>
          <a:p>
            <a:pPr>
              <a:defRPr sz="900" b="0" baseline="0"/>
            </a:pPr>
            <a:endParaRPr lang="en-US"/>
          </a:p>
        </c:txPr>
        <c:crossAx val="144448896"/>
        <c:crosses val="autoZero"/>
        <c:crossBetween val="between"/>
      </c:valAx>
    </c:plotArea>
    <c:legend>
      <c:legendPos val="b"/>
      <c:layout>
        <c:manualLayout>
          <c:xMode val="edge"/>
          <c:yMode val="edge"/>
          <c:x val="0.15867754945265988"/>
          <c:y val="0.86280095062120243"/>
          <c:w val="0.68264490109468656"/>
          <c:h val="0.11767626613704071"/>
        </c:manualLayout>
      </c:layout>
      <c:txPr>
        <a:bodyPr/>
        <a:lstStyle/>
        <a:p>
          <a:pPr>
            <a:defRPr b="1"/>
          </a:pPr>
          <a:endParaRPr lang="en-US"/>
        </a:p>
      </c:txPr>
    </c:legend>
    <c:plotVisOnly val="1"/>
    <c:dispBlanksAs val="gap"/>
  </c:chart>
  <c:spPr>
    <a:ln w="12700">
      <a:solidFill>
        <a:schemeClr val="bg1">
          <a:lumMod val="50000"/>
        </a:schemeClr>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000" baseline="0"/>
            </a:pPr>
            <a:r>
              <a:rPr lang="en-AU" sz="1000" baseline="0"/>
              <a:t>Average progress in Numeracy between </a:t>
            </a:r>
          </a:p>
          <a:p>
            <a:pPr>
              <a:defRPr sz="1000" baseline="0"/>
            </a:pPr>
            <a:r>
              <a:rPr lang="en-AU" sz="1000" baseline="0"/>
              <a:t>Year 3 and 5</a:t>
            </a:r>
          </a:p>
        </c:rich>
      </c:tx>
    </c:title>
    <c:plotArea>
      <c:layout>
        <c:manualLayout>
          <c:layoutTarget val="inner"/>
          <c:xMode val="edge"/>
          <c:yMode val="edge"/>
          <c:x val="0.23576481511239913"/>
          <c:y val="0.29281313614032428"/>
          <c:w val="0.71057653507597252"/>
          <c:h val="0.44819011020331923"/>
        </c:manualLayout>
      </c:layout>
      <c:barChart>
        <c:barDir val="col"/>
        <c:grouping val="clustered"/>
        <c:ser>
          <c:idx val="0"/>
          <c:order val="0"/>
          <c:tx>
            <c:strRef>
              <c:f>'Tables and Graphs'!$CG$28</c:f>
              <c:strCache>
                <c:ptCount val="1"/>
                <c:pt idx="0">
                  <c:v>School</c:v>
                </c:pt>
              </c:strCache>
            </c:strRef>
          </c:tx>
          <c:spPr>
            <a:solidFill>
              <a:srgbClr val="C0504D">
                <a:lumMod val="60000"/>
                <a:lumOff val="40000"/>
              </a:srgbClr>
            </a:solidFill>
            <a:ln>
              <a:solidFill>
                <a:sysClr val="windowText" lastClr="000000"/>
              </a:solidFill>
            </a:ln>
          </c:spPr>
          <c:cat>
            <c:strRef>
              <c:f>'Tables and Graphs'!$CH$9:$CI$9</c:f>
              <c:strCache>
                <c:ptCount val="2"/>
                <c:pt idx="0">
                  <c:v>2008-2010</c:v>
                </c:pt>
                <c:pt idx="1">
                  <c:v>2009-2011</c:v>
                </c:pt>
              </c:strCache>
            </c:strRef>
          </c:cat>
          <c:val>
            <c:numRef>
              <c:f>'Tables and Graphs'!$CH$28:$CI$28</c:f>
              <c:numCache>
                <c:formatCode>0.0</c:formatCode>
                <c:ptCount val="2"/>
                <c:pt idx="0">
                  <c:v>73.179999999999978</c:v>
                </c:pt>
                <c:pt idx="1">
                  <c:v>78.22</c:v>
                </c:pt>
              </c:numCache>
            </c:numRef>
          </c:val>
        </c:ser>
        <c:ser>
          <c:idx val="1"/>
          <c:order val="1"/>
          <c:tx>
            <c:strRef>
              <c:f>'Tables and Graphs'!$CG$29</c:f>
              <c:strCache>
                <c:ptCount val="1"/>
                <c:pt idx="0">
                  <c:v>SSG</c:v>
                </c:pt>
              </c:strCache>
            </c:strRef>
          </c:tx>
          <c:spPr>
            <a:solidFill>
              <a:srgbClr val="9BBB59">
                <a:lumMod val="60000"/>
                <a:lumOff val="40000"/>
              </a:srgbClr>
            </a:solidFill>
            <a:ln>
              <a:solidFill>
                <a:schemeClr val="tx1"/>
              </a:solidFill>
            </a:ln>
          </c:spPr>
          <c:cat>
            <c:strRef>
              <c:f>'Tables and Graphs'!$CH$9:$CI$9</c:f>
              <c:strCache>
                <c:ptCount val="2"/>
                <c:pt idx="0">
                  <c:v>2008-2010</c:v>
                </c:pt>
                <c:pt idx="1">
                  <c:v>2009-2011</c:v>
                </c:pt>
              </c:strCache>
            </c:strRef>
          </c:cat>
          <c:val>
            <c:numRef>
              <c:f>'Tables and Graphs'!$CH$29:$CI$29</c:f>
              <c:numCache>
                <c:formatCode>0.0</c:formatCode>
                <c:ptCount val="2"/>
                <c:pt idx="0">
                  <c:v>93.5</c:v>
                </c:pt>
                <c:pt idx="1">
                  <c:v>96.1</c:v>
                </c:pt>
              </c:numCache>
            </c:numRef>
          </c:val>
        </c:ser>
        <c:ser>
          <c:idx val="2"/>
          <c:order val="2"/>
          <c:tx>
            <c:strRef>
              <c:f>'Tables and Graphs'!$CG$30</c:f>
              <c:strCache>
                <c:ptCount val="1"/>
                <c:pt idx="0">
                  <c:v>State DEC</c:v>
                </c:pt>
              </c:strCache>
            </c:strRef>
          </c:tx>
          <c:spPr>
            <a:solidFill>
              <a:srgbClr val="1F497D">
                <a:lumMod val="40000"/>
                <a:lumOff val="60000"/>
              </a:srgbClr>
            </a:solidFill>
            <a:ln>
              <a:solidFill>
                <a:prstClr val="black"/>
              </a:solidFill>
            </a:ln>
          </c:spPr>
          <c:val>
            <c:numRef>
              <c:f>'Tables and Graphs'!$CH$30:$CI$30</c:f>
              <c:numCache>
                <c:formatCode>0.0</c:formatCode>
                <c:ptCount val="2"/>
                <c:pt idx="0">
                  <c:v>89.614000000000004</c:v>
                </c:pt>
                <c:pt idx="1">
                  <c:v>95.790999999999997</c:v>
                </c:pt>
              </c:numCache>
            </c:numRef>
          </c:val>
        </c:ser>
        <c:axId val="144808576"/>
        <c:axId val="144818560"/>
      </c:barChart>
      <c:catAx>
        <c:axId val="144808576"/>
        <c:scaling>
          <c:orientation val="minMax"/>
        </c:scaling>
        <c:axPos val="b"/>
        <c:tickLblPos val="nextTo"/>
        <c:txPr>
          <a:bodyPr/>
          <a:lstStyle/>
          <a:p>
            <a:pPr>
              <a:defRPr sz="900" b="1" baseline="0"/>
            </a:pPr>
            <a:endParaRPr lang="en-US"/>
          </a:p>
        </c:txPr>
        <c:crossAx val="144818560"/>
        <c:crosses val="autoZero"/>
        <c:auto val="1"/>
        <c:lblAlgn val="ctr"/>
        <c:lblOffset val="100"/>
      </c:catAx>
      <c:valAx>
        <c:axId val="144818560"/>
        <c:scaling>
          <c:orientation val="minMax"/>
          <c:min val="0"/>
        </c:scaling>
        <c:axPos val="l"/>
        <c:majorGridlines/>
        <c:title>
          <c:tx>
            <c:rich>
              <a:bodyPr rot="-5400000" vert="horz"/>
              <a:lstStyle/>
              <a:p>
                <a:pPr>
                  <a:defRPr/>
                </a:pPr>
                <a:r>
                  <a:rPr lang="en-AU"/>
                  <a:t>Progress</a:t>
                </a:r>
              </a:p>
            </c:rich>
          </c:tx>
          <c:layout>
            <c:manualLayout>
              <c:xMode val="edge"/>
              <c:yMode val="edge"/>
              <c:x val="5.5564483011052192E-2"/>
              <c:y val="0.37898746098051883"/>
            </c:manualLayout>
          </c:layout>
        </c:title>
        <c:numFmt formatCode="0" sourceLinked="0"/>
        <c:tickLblPos val="nextTo"/>
        <c:txPr>
          <a:bodyPr/>
          <a:lstStyle/>
          <a:p>
            <a:pPr>
              <a:defRPr sz="900" b="0" baseline="0"/>
            </a:pPr>
            <a:endParaRPr lang="en-US"/>
          </a:p>
        </c:txPr>
        <c:crossAx val="144808576"/>
        <c:crosses val="autoZero"/>
        <c:crossBetween val="between"/>
      </c:valAx>
    </c:plotArea>
    <c:legend>
      <c:legendPos val="b"/>
      <c:layout>
        <c:manualLayout>
          <c:xMode val="edge"/>
          <c:yMode val="edge"/>
          <c:x val="0.16005950841671487"/>
          <c:y val="0.85519401058475208"/>
          <c:w val="0.67988098316657974"/>
          <c:h val="0.11857648121853714"/>
        </c:manualLayout>
      </c:layout>
      <c:txPr>
        <a:bodyPr/>
        <a:lstStyle/>
        <a:p>
          <a:pPr>
            <a:defRPr b="1"/>
          </a:pPr>
          <a:endParaRPr lang="en-US"/>
        </a:p>
      </c:txPr>
    </c:legend>
    <c:plotVisOnly val="1"/>
    <c:dispBlanksAs val="gap"/>
  </c:chart>
  <c:spPr>
    <a:ln w="12700">
      <a:solidFill>
        <a:schemeClr val="bg1">
          <a:lumMod val="50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050"/>
            </a:pPr>
            <a:r>
              <a:rPr lang="en-AU" sz="1050" baseline="0"/>
              <a:t>Student attendance rates</a:t>
            </a:r>
          </a:p>
        </c:rich>
      </c:tx>
    </c:title>
    <c:plotArea>
      <c:layout>
        <c:manualLayout>
          <c:layoutTarget val="inner"/>
          <c:xMode val="edge"/>
          <c:yMode val="edge"/>
          <c:x val="0.19316635528188836"/>
          <c:y val="0.1889662045383681"/>
          <c:w val="0.74639982634710011"/>
          <c:h val="0.54138222594522356"/>
        </c:manualLayout>
      </c:layout>
      <c:barChart>
        <c:barDir val="col"/>
        <c:grouping val="clustered"/>
        <c:ser>
          <c:idx val="0"/>
          <c:order val="0"/>
          <c:tx>
            <c:strRef>
              <c:f>'Tables and Graphs'!$CT$5:$CT$13</c:f>
              <c:strCache>
                <c:ptCount val="1"/>
                <c:pt idx="0">
                  <c:v>School</c:v>
                </c:pt>
              </c:strCache>
            </c:strRef>
          </c:tx>
          <c:spPr>
            <a:solidFill>
              <a:schemeClr val="accent2">
                <a:lumMod val="60000"/>
                <a:lumOff val="40000"/>
              </a:schemeClr>
            </a:solidFill>
            <a:ln>
              <a:solidFill>
                <a:sysClr val="windowText" lastClr="000000"/>
              </a:solidFill>
            </a:ln>
          </c:spPr>
          <c:cat>
            <c:numRef>
              <c:f>'Tables and Graphs'!$CV$5:$CY$5</c:f>
              <c:numCache>
                <c:formatCode>General</c:formatCode>
                <c:ptCount val="4"/>
                <c:pt idx="0">
                  <c:v>2008</c:v>
                </c:pt>
                <c:pt idx="1">
                  <c:v>2009</c:v>
                </c:pt>
                <c:pt idx="2">
                  <c:v>2010</c:v>
                </c:pt>
                <c:pt idx="3">
                  <c:v>2011</c:v>
                </c:pt>
              </c:numCache>
            </c:numRef>
          </c:cat>
          <c:val>
            <c:numRef>
              <c:f>'Tables and Graphs'!$CV$13:$CY$13</c:f>
              <c:numCache>
                <c:formatCode>0.0</c:formatCode>
                <c:ptCount val="4"/>
                <c:pt idx="0">
                  <c:v>93.04</c:v>
                </c:pt>
                <c:pt idx="1">
                  <c:v>92.930515811871743</c:v>
                </c:pt>
                <c:pt idx="2">
                  <c:v>93.113772455089205</c:v>
                </c:pt>
                <c:pt idx="3">
                  <c:v>92.218391613311752</c:v>
                </c:pt>
              </c:numCache>
            </c:numRef>
          </c:val>
        </c:ser>
        <c:ser>
          <c:idx val="1"/>
          <c:order val="1"/>
          <c:tx>
            <c:strRef>
              <c:f>'Tables and Graphs'!$CT$14:$CT$20</c:f>
              <c:strCache>
                <c:ptCount val="1"/>
                <c:pt idx="0">
                  <c:v>Region</c:v>
                </c:pt>
              </c:strCache>
            </c:strRef>
          </c:tx>
          <c:spPr>
            <a:solidFill>
              <a:schemeClr val="accent3">
                <a:lumMod val="60000"/>
                <a:lumOff val="40000"/>
              </a:schemeClr>
            </a:solidFill>
            <a:ln>
              <a:solidFill>
                <a:sysClr val="windowText" lastClr="000000"/>
              </a:solidFill>
            </a:ln>
          </c:spPr>
          <c:cat>
            <c:numRef>
              <c:f>'Tables and Graphs'!$CV$5:$CY$5</c:f>
              <c:numCache>
                <c:formatCode>General</c:formatCode>
                <c:ptCount val="4"/>
                <c:pt idx="0">
                  <c:v>2008</c:v>
                </c:pt>
                <c:pt idx="1">
                  <c:v>2009</c:v>
                </c:pt>
                <c:pt idx="2">
                  <c:v>2010</c:v>
                </c:pt>
                <c:pt idx="3">
                  <c:v>2011</c:v>
                </c:pt>
              </c:numCache>
            </c:numRef>
          </c:cat>
          <c:val>
            <c:numRef>
              <c:f>'Tables and Graphs'!$CV$21:$CY$21</c:f>
              <c:numCache>
                <c:formatCode>0.0</c:formatCode>
                <c:ptCount val="4"/>
                <c:pt idx="0">
                  <c:v>94.087367317948988</c:v>
                </c:pt>
                <c:pt idx="1">
                  <c:v>92.1</c:v>
                </c:pt>
                <c:pt idx="2">
                  <c:v>94.3</c:v>
                </c:pt>
                <c:pt idx="3">
                  <c:v>94.274236150951268</c:v>
                </c:pt>
              </c:numCache>
            </c:numRef>
          </c:val>
        </c:ser>
        <c:ser>
          <c:idx val="2"/>
          <c:order val="2"/>
          <c:tx>
            <c:strRef>
              <c:f>'Tables and Graphs'!$CT$22:$CT$28</c:f>
              <c:strCache>
                <c:ptCount val="1"/>
                <c:pt idx="0">
                  <c:v>State DEC</c:v>
                </c:pt>
              </c:strCache>
            </c:strRef>
          </c:tx>
          <c:spPr>
            <a:solidFill>
              <a:schemeClr val="tx2">
                <a:lumMod val="40000"/>
                <a:lumOff val="60000"/>
              </a:schemeClr>
            </a:solidFill>
            <a:ln>
              <a:solidFill>
                <a:sysClr val="windowText" lastClr="000000"/>
              </a:solidFill>
            </a:ln>
          </c:spPr>
          <c:cat>
            <c:numRef>
              <c:f>'Tables and Graphs'!$CV$5:$CY$5</c:f>
              <c:numCache>
                <c:formatCode>General</c:formatCode>
                <c:ptCount val="4"/>
                <c:pt idx="0">
                  <c:v>2008</c:v>
                </c:pt>
                <c:pt idx="1">
                  <c:v>2009</c:v>
                </c:pt>
                <c:pt idx="2">
                  <c:v>2010</c:v>
                </c:pt>
                <c:pt idx="3">
                  <c:v>2011</c:v>
                </c:pt>
              </c:numCache>
            </c:numRef>
          </c:cat>
          <c:val>
            <c:numRef>
              <c:f>'Tables and Graphs'!$CV$29:$CY$29</c:f>
              <c:numCache>
                <c:formatCode>0.0</c:formatCode>
                <c:ptCount val="4"/>
                <c:pt idx="0" formatCode="General">
                  <c:v>94.1</c:v>
                </c:pt>
                <c:pt idx="1">
                  <c:v>92.1</c:v>
                </c:pt>
                <c:pt idx="2">
                  <c:v>94.4</c:v>
                </c:pt>
                <c:pt idx="3">
                  <c:v>94.264406231260764</c:v>
                </c:pt>
              </c:numCache>
            </c:numRef>
          </c:val>
        </c:ser>
        <c:axId val="145182720"/>
        <c:axId val="145185024"/>
      </c:barChart>
      <c:catAx>
        <c:axId val="145182720"/>
        <c:scaling>
          <c:orientation val="minMax"/>
        </c:scaling>
        <c:axPos val="b"/>
        <c:title>
          <c:tx>
            <c:rich>
              <a:bodyPr/>
              <a:lstStyle/>
              <a:p>
                <a:pPr>
                  <a:defRPr sz="1000"/>
                </a:pPr>
                <a:r>
                  <a:rPr lang="en-AU" sz="1000"/>
                  <a:t>Year</a:t>
                </a:r>
              </a:p>
            </c:rich>
          </c:tx>
          <c:layout>
            <c:manualLayout>
              <c:xMode val="edge"/>
              <c:yMode val="edge"/>
              <c:x val="0.55702673281856885"/>
              <c:y val="0.80346137167636456"/>
            </c:manualLayout>
          </c:layout>
        </c:title>
        <c:numFmt formatCode="General" sourceLinked="1"/>
        <c:tickLblPos val="nextTo"/>
        <c:txPr>
          <a:bodyPr/>
          <a:lstStyle/>
          <a:p>
            <a:pPr>
              <a:defRPr b="1"/>
            </a:pPr>
            <a:endParaRPr lang="en-US"/>
          </a:p>
        </c:txPr>
        <c:crossAx val="145185024"/>
        <c:crosses val="autoZero"/>
        <c:auto val="1"/>
        <c:lblAlgn val="ctr"/>
        <c:lblOffset val="100"/>
      </c:catAx>
      <c:valAx>
        <c:axId val="145185024"/>
        <c:scaling>
          <c:orientation val="minMax"/>
          <c:max val="100"/>
          <c:min val="0"/>
        </c:scaling>
        <c:axPos val="l"/>
        <c:majorGridlines/>
        <c:title>
          <c:tx>
            <c:rich>
              <a:bodyPr rot="-5400000" vert="horz"/>
              <a:lstStyle/>
              <a:p>
                <a:pPr>
                  <a:defRPr/>
                </a:pPr>
                <a:r>
                  <a:rPr lang="en-AU" sz="1100"/>
                  <a:t>Attendance rate</a:t>
                </a:r>
              </a:p>
            </c:rich>
          </c:tx>
          <c:layout>
            <c:manualLayout>
              <c:xMode val="edge"/>
              <c:yMode val="edge"/>
              <c:x val="2.3907480667639761E-2"/>
              <c:y val="0.25627580957462881"/>
            </c:manualLayout>
          </c:layout>
        </c:title>
        <c:numFmt formatCode="0" sourceLinked="0"/>
        <c:tickLblPos val="nextTo"/>
        <c:txPr>
          <a:bodyPr/>
          <a:lstStyle/>
          <a:p>
            <a:pPr>
              <a:defRPr b="0"/>
            </a:pPr>
            <a:endParaRPr lang="en-US"/>
          </a:p>
        </c:txPr>
        <c:crossAx val="145182720"/>
        <c:crosses val="autoZero"/>
        <c:crossBetween val="between"/>
        <c:majorUnit val="25"/>
      </c:valAx>
    </c:plotArea>
    <c:legend>
      <c:legendPos val="b"/>
      <c:layout>
        <c:manualLayout>
          <c:xMode val="edge"/>
          <c:yMode val="edge"/>
          <c:x val="0.19463817138171383"/>
          <c:y val="0.89517155837441975"/>
          <c:w val="0.67147279235732382"/>
          <c:h val="0.10482848339609695"/>
        </c:manualLayout>
      </c:layout>
      <c:txPr>
        <a:bodyPr/>
        <a:lstStyle/>
        <a:p>
          <a:pPr>
            <a:defRPr b="1"/>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3 Reading</a:t>
            </a:r>
          </a:p>
        </c:rich>
      </c:tx>
      <c:spPr>
        <a:ln w="0"/>
      </c:spPr>
    </c:title>
    <c:plotArea>
      <c:layout>
        <c:manualLayout>
          <c:layoutTarget val="inner"/>
          <c:xMode val="edge"/>
          <c:yMode val="edge"/>
          <c:x val="0.20106736918392756"/>
          <c:y val="0.15769320247953494"/>
          <c:w val="0.77078564444594466"/>
          <c:h val="0.53550321036297199"/>
        </c:manualLayout>
      </c:layout>
      <c:barChart>
        <c:barDir val="col"/>
        <c:grouping val="clustered"/>
        <c:ser>
          <c:idx val="0"/>
          <c:order val="0"/>
          <c:tx>
            <c:strRef>
              <c:f>'Tables and Graphs'!$M$10:$O$10</c:f>
              <c:strCache>
                <c:ptCount val="1"/>
                <c:pt idx="0">
                  <c:v>Percentage in Band</c:v>
                </c:pt>
              </c:strCache>
            </c:strRef>
          </c:tx>
          <c:spPr>
            <a:solidFill>
              <a:schemeClr val="accent2">
                <a:lumMod val="60000"/>
                <a:lumOff val="40000"/>
              </a:schemeClr>
            </a:solidFill>
            <a:ln>
              <a:solidFill>
                <a:sysClr val="windowText" lastClr="000000"/>
              </a:solidFill>
            </a:ln>
          </c:spPr>
          <c:val>
            <c:numRef>
              <c:f>'Tables and Graphs'!$P$14:$U$14</c:f>
              <c:numCache>
                <c:formatCode>0.0</c:formatCode>
                <c:ptCount val="6"/>
                <c:pt idx="0">
                  <c:v>0</c:v>
                </c:pt>
                <c:pt idx="1">
                  <c:v>13.888888888888889</c:v>
                </c:pt>
                <c:pt idx="2">
                  <c:v>13.888888888888889</c:v>
                </c:pt>
                <c:pt idx="3">
                  <c:v>19.444444444444446</c:v>
                </c:pt>
                <c:pt idx="4">
                  <c:v>16.666666666666664</c:v>
                </c:pt>
                <c:pt idx="5">
                  <c:v>36.111111111111107</c:v>
                </c:pt>
              </c:numCache>
            </c:numRef>
          </c:val>
        </c:ser>
        <c:ser>
          <c:idx val="1"/>
          <c:order val="1"/>
          <c:tx>
            <c:strRef>
              <c:f>'Tables and Graphs'!$M$11:$O$11</c:f>
              <c:strCache>
                <c:ptCount val="1"/>
                <c:pt idx="0">
                  <c:v>School Average 2008-2011</c:v>
                </c:pt>
              </c:strCache>
            </c:strRef>
          </c:tx>
          <c:spPr>
            <a:solidFill>
              <a:schemeClr val="accent4">
                <a:lumMod val="60000"/>
                <a:lumOff val="40000"/>
              </a:schemeClr>
            </a:solidFill>
            <a:ln>
              <a:solidFill>
                <a:sysClr val="windowText" lastClr="000000"/>
              </a:solidFill>
            </a:ln>
          </c:spPr>
          <c:val>
            <c:numRef>
              <c:f>'Tables and Graphs'!$P$15:$U$15</c:f>
              <c:numCache>
                <c:formatCode>0.0</c:formatCode>
                <c:ptCount val="6"/>
                <c:pt idx="0">
                  <c:v>1.3605442176870686</c:v>
                </c:pt>
                <c:pt idx="1">
                  <c:v>5.4421768707482698</c:v>
                </c:pt>
                <c:pt idx="2">
                  <c:v>14.285714285714286</c:v>
                </c:pt>
                <c:pt idx="3">
                  <c:v>24.489795918367175</c:v>
                </c:pt>
                <c:pt idx="4">
                  <c:v>25.170068027211038</c:v>
                </c:pt>
                <c:pt idx="5">
                  <c:v>29.251700680272087</c:v>
                </c:pt>
              </c:numCache>
            </c:numRef>
          </c:val>
        </c:ser>
        <c:ser>
          <c:idx val="2"/>
          <c:order val="2"/>
          <c:tx>
            <c:strRef>
              <c:f>'Tables and Graphs'!$M$12:$O$12</c:f>
              <c:strCache>
                <c:ptCount val="1"/>
                <c:pt idx="0">
                  <c:v>SSG % in Band 2011</c:v>
                </c:pt>
              </c:strCache>
            </c:strRef>
          </c:tx>
          <c:spPr>
            <a:solidFill>
              <a:schemeClr val="accent3">
                <a:lumMod val="60000"/>
                <a:lumOff val="40000"/>
              </a:schemeClr>
            </a:solidFill>
            <a:ln>
              <a:solidFill>
                <a:sysClr val="windowText" lastClr="000000"/>
              </a:solidFill>
            </a:ln>
          </c:spPr>
          <c:val>
            <c:numRef>
              <c:f>'Tables and Graphs'!$P$12:$U$12</c:f>
              <c:numCache>
                <c:formatCode>0.0</c:formatCode>
                <c:ptCount val="6"/>
                <c:pt idx="0">
                  <c:v>2.4</c:v>
                </c:pt>
                <c:pt idx="1">
                  <c:v>8.7000000000000011</c:v>
                </c:pt>
                <c:pt idx="2">
                  <c:v>15.7</c:v>
                </c:pt>
                <c:pt idx="3">
                  <c:v>22.2</c:v>
                </c:pt>
                <c:pt idx="4">
                  <c:v>19.7</c:v>
                </c:pt>
                <c:pt idx="5">
                  <c:v>31.2</c:v>
                </c:pt>
              </c:numCache>
            </c:numRef>
          </c:val>
        </c:ser>
        <c:ser>
          <c:idx val="3"/>
          <c:order val="3"/>
          <c:tx>
            <c:strRef>
              <c:f>'Tables and Graphs'!$M$13:$O$13</c:f>
              <c:strCache>
                <c:ptCount val="1"/>
                <c:pt idx="0">
                  <c:v>State DEC % in Band 2011</c:v>
                </c:pt>
              </c:strCache>
            </c:strRef>
          </c:tx>
          <c:spPr>
            <a:solidFill>
              <a:schemeClr val="tx2">
                <a:lumMod val="40000"/>
                <a:lumOff val="60000"/>
              </a:schemeClr>
            </a:solidFill>
            <a:ln>
              <a:solidFill>
                <a:sysClr val="windowText" lastClr="000000"/>
              </a:solidFill>
            </a:ln>
          </c:spPr>
          <c:val>
            <c:numRef>
              <c:f>'Tables and Graphs'!$P$13:$U$13</c:f>
              <c:numCache>
                <c:formatCode>0.0</c:formatCode>
                <c:ptCount val="6"/>
                <c:pt idx="0">
                  <c:v>4.5999999999999996</c:v>
                </c:pt>
                <c:pt idx="1">
                  <c:v>12.2</c:v>
                </c:pt>
                <c:pt idx="2">
                  <c:v>19.399999999999999</c:v>
                </c:pt>
                <c:pt idx="3">
                  <c:v>21.1</c:v>
                </c:pt>
                <c:pt idx="4">
                  <c:v>16.600000000000001</c:v>
                </c:pt>
                <c:pt idx="5">
                  <c:v>26.2</c:v>
                </c:pt>
              </c:numCache>
            </c:numRef>
          </c:val>
        </c:ser>
        <c:axId val="150804736"/>
        <c:axId val="150825216"/>
      </c:barChart>
      <c:catAx>
        <c:axId val="150804736"/>
        <c:scaling>
          <c:orientation val="minMax"/>
        </c:scaling>
        <c:axPos val="b"/>
        <c:title>
          <c:tx>
            <c:rich>
              <a:bodyPr/>
              <a:lstStyle/>
              <a:p>
                <a:pPr>
                  <a:defRPr/>
                </a:pPr>
                <a:r>
                  <a:rPr lang="en-AU"/>
                  <a:t>Bands</a:t>
                </a:r>
              </a:p>
            </c:rich>
          </c:tx>
          <c:layout>
            <c:manualLayout>
              <c:xMode val="edge"/>
              <c:yMode val="edge"/>
              <c:x val="0.45248023133755944"/>
              <c:y val="0.75714741837084321"/>
            </c:manualLayout>
          </c:layout>
        </c:title>
        <c:tickLblPos val="nextTo"/>
        <c:txPr>
          <a:bodyPr/>
          <a:lstStyle/>
          <a:p>
            <a:pPr>
              <a:defRPr b="0"/>
            </a:pPr>
            <a:endParaRPr lang="en-US"/>
          </a:p>
        </c:txPr>
        <c:crossAx val="150825216"/>
        <c:crossesAt val="0"/>
        <c:auto val="1"/>
        <c:lblAlgn val="ctr"/>
        <c:lblOffset val="100"/>
      </c:catAx>
      <c:valAx>
        <c:axId val="150825216"/>
        <c:scaling>
          <c:orientation val="minMax"/>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50804736"/>
        <c:crosses val="autoZero"/>
        <c:crossBetween val="between"/>
      </c:valAx>
    </c:plotArea>
    <c:legend>
      <c:legendPos val="b"/>
      <c:layout>
        <c:manualLayout>
          <c:xMode val="edge"/>
          <c:yMode val="edge"/>
          <c:x val="0.20301028378875341"/>
          <c:y val="0.81347121175359305"/>
          <c:w val="0.68780227074519695"/>
          <c:h val="0.1806778830784749"/>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3 Writing</a:t>
            </a:r>
          </a:p>
        </c:rich>
      </c:tx>
      <c:spPr>
        <a:ln w="0"/>
      </c:spPr>
    </c:title>
    <c:plotArea>
      <c:layout>
        <c:manualLayout>
          <c:layoutTarget val="inner"/>
          <c:xMode val="edge"/>
          <c:yMode val="edge"/>
          <c:x val="0.20106736918392762"/>
          <c:y val="0.15769320247953494"/>
          <c:w val="0.77078564444594488"/>
          <c:h val="0.53550321036297199"/>
        </c:manualLayout>
      </c:layout>
      <c:barChart>
        <c:barDir val="col"/>
        <c:grouping val="clustered"/>
        <c:ser>
          <c:idx val="0"/>
          <c:order val="0"/>
          <c:tx>
            <c:strRef>
              <c:f>'Tables and Graphs'!$M$23:$O$23</c:f>
              <c:strCache>
                <c:ptCount val="1"/>
                <c:pt idx="0">
                  <c:v>Percentage in Band</c:v>
                </c:pt>
              </c:strCache>
            </c:strRef>
          </c:tx>
          <c:spPr>
            <a:solidFill>
              <a:schemeClr val="accent2">
                <a:lumMod val="60000"/>
                <a:lumOff val="40000"/>
              </a:schemeClr>
            </a:solidFill>
            <a:ln>
              <a:solidFill>
                <a:sysClr val="windowText" lastClr="000000"/>
              </a:solidFill>
            </a:ln>
          </c:spPr>
          <c:cat>
            <c:numRef>
              <c:f>'Tables and Graphs'!$P$21:$U$21</c:f>
              <c:numCache>
                <c:formatCode>General</c:formatCode>
                <c:ptCount val="6"/>
                <c:pt idx="0">
                  <c:v>1</c:v>
                </c:pt>
                <c:pt idx="1">
                  <c:v>2</c:v>
                </c:pt>
                <c:pt idx="2">
                  <c:v>3</c:v>
                </c:pt>
                <c:pt idx="3">
                  <c:v>4</c:v>
                </c:pt>
                <c:pt idx="4">
                  <c:v>5</c:v>
                </c:pt>
                <c:pt idx="5">
                  <c:v>6</c:v>
                </c:pt>
              </c:numCache>
            </c:numRef>
          </c:cat>
          <c:val>
            <c:numRef>
              <c:f>'Tables and Graphs'!$P$26:$U$26</c:f>
              <c:numCache>
                <c:formatCode>0.0</c:formatCode>
                <c:ptCount val="6"/>
                <c:pt idx="0">
                  <c:v>0</c:v>
                </c:pt>
                <c:pt idx="1">
                  <c:v>0</c:v>
                </c:pt>
                <c:pt idx="2">
                  <c:v>19.444444444444446</c:v>
                </c:pt>
                <c:pt idx="3">
                  <c:v>30.555555555555557</c:v>
                </c:pt>
                <c:pt idx="4">
                  <c:v>33.333333333333329</c:v>
                </c:pt>
                <c:pt idx="5">
                  <c:v>16.666666666666664</c:v>
                </c:pt>
              </c:numCache>
            </c:numRef>
          </c:val>
        </c:ser>
        <c:ser>
          <c:idx val="2"/>
          <c:order val="1"/>
          <c:tx>
            <c:strRef>
              <c:f>'Tables and Graphs'!$M$24:$O$24</c:f>
              <c:strCache>
                <c:ptCount val="1"/>
                <c:pt idx="0">
                  <c:v>SSG % in Band 2011</c:v>
                </c:pt>
              </c:strCache>
            </c:strRef>
          </c:tx>
          <c:spPr>
            <a:solidFill>
              <a:schemeClr val="accent3">
                <a:lumMod val="60000"/>
                <a:lumOff val="40000"/>
              </a:schemeClr>
            </a:solidFill>
            <a:ln>
              <a:solidFill>
                <a:sysClr val="windowText" lastClr="000000"/>
              </a:solidFill>
            </a:ln>
          </c:spPr>
          <c:cat>
            <c:numRef>
              <c:f>'Tables and Graphs'!$P$21:$U$21</c:f>
              <c:numCache>
                <c:formatCode>General</c:formatCode>
                <c:ptCount val="6"/>
                <c:pt idx="0">
                  <c:v>1</c:v>
                </c:pt>
                <c:pt idx="1">
                  <c:v>2</c:v>
                </c:pt>
                <c:pt idx="2">
                  <c:v>3</c:v>
                </c:pt>
                <c:pt idx="3">
                  <c:v>4</c:v>
                </c:pt>
                <c:pt idx="4">
                  <c:v>5</c:v>
                </c:pt>
                <c:pt idx="5">
                  <c:v>6</c:v>
                </c:pt>
              </c:numCache>
            </c:numRef>
          </c:cat>
          <c:val>
            <c:numRef>
              <c:f>'Tables and Graphs'!$P$24:$U$24</c:f>
              <c:numCache>
                <c:formatCode>0.0</c:formatCode>
                <c:ptCount val="6"/>
                <c:pt idx="0">
                  <c:v>1.4</c:v>
                </c:pt>
                <c:pt idx="1">
                  <c:v>2</c:v>
                </c:pt>
                <c:pt idx="2">
                  <c:v>11</c:v>
                </c:pt>
                <c:pt idx="3">
                  <c:v>21.1</c:v>
                </c:pt>
                <c:pt idx="4">
                  <c:v>46.2</c:v>
                </c:pt>
                <c:pt idx="5">
                  <c:v>18.3</c:v>
                </c:pt>
              </c:numCache>
            </c:numRef>
          </c:val>
        </c:ser>
        <c:ser>
          <c:idx val="3"/>
          <c:order val="2"/>
          <c:tx>
            <c:strRef>
              <c:f>'Tables and Graphs'!$M$25:$O$25</c:f>
              <c:strCache>
                <c:ptCount val="1"/>
                <c:pt idx="0">
                  <c:v>State DEC % in Band 2011</c:v>
                </c:pt>
              </c:strCache>
            </c:strRef>
          </c:tx>
          <c:spPr>
            <a:solidFill>
              <a:schemeClr val="tx2">
                <a:lumMod val="40000"/>
                <a:lumOff val="60000"/>
              </a:schemeClr>
            </a:solidFill>
            <a:ln>
              <a:solidFill>
                <a:sysClr val="windowText" lastClr="000000"/>
              </a:solidFill>
            </a:ln>
          </c:spPr>
          <c:cat>
            <c:numRef>
              <c:f>'Tables and Graphs'!$P$21:$U$21</c:f>
              <c:numCache>
                <c:formatCode>General</c:formatCode>
                <c:ptCount val="6"/>
                <c:pt idx="0">
                  <c:v>1</c:v>
                </c:pt>
                <c:pt idx="1">
                  <c:v>2</c:v>
                </c:pt>
                <c:pt idx="2">
                  <c:v>3</c:v>
                </c:pt>
                <c:pt idx="3">
                  <c:v>4</c:v>
                </c:pt>
                <c:pt idx="4">
                  <c:v>5</c:v>
                </c:pt>
                <c:pt idx="5">
                  <c:v>6</c:v>
                </c:pt>
              </c:numCache>
            </c:numRef>
          </c:cat>
          <c:val>
            <c:numRef>
              <c:f>'Tables and Graphs'!$P$25:$U$25</c:f>
              <c:numCache>
                <c:formatCode>0.0</c:formatCode>
                <c:ptCount val="6"/>
                <c:pt idx="0">
                  <c:v>2.5</c:v>
                </c:pt>
                <c:pt idx="1">
                  <c:v>5</c:v>
                </c:pt>
                <c:pt idx="2">
                  <c:v>14.4</c:v>
                </c:pt>
                <c:pt idx="3">
                  <c:v>21.7</c:v>
                </c:pt>
                <c:pt idx="4">
                  <c:v>40.700000000000003</c:v>
                </c:pt>
                <c:pt idx="5">
                  <c:v>15.8</c:v>
                </c:pt>
              </c:numCache>
            </c:numRef>
          </c:val>
        </c:ser>
        <c:axId val="178878336"/>
        <c:axId val="137265152"/>
      </c:barChart>
      <c:catAx>
        <c:axId val="178878336"/>
        <c:scaling>
          <c:orientation val="minMax"/>
        </c:scaling>
        <c:axPos val="b"/>
        <c:title>
          <c:tx>
            <c:rich>
              <a:bodyPr/>
              <a:lstStyle/>
              <a:p>
                <a:pPr>
                  <a:defRPr/>
                </a:pPr>
                <a:r>
                  <a:rPr lang="en-AU"/>
                  <a:t>Bands</a:t>
                </a:r>
              </a:p>
            </c:rich>
          </c:tx>
          <c:layout>
            <c:manualLayout>
              <c:xMode val="edge"/>
              <c:yMode val="edge"/>
              <c:x val="0.45248008526355937"/>
              <c:y val="0.76481269563055065"/>
            </c:manualLayout>
          </c:layout>
        </c:title>
        <c:numFmt formatCode="General" sourceLinked="1"/>
        <c:tickLblPos val="nextTo"/>
        <c:txPr>
          <a:bodyPr/>
          <a:lstStyle/>
          <a:p>
            <a:pPr>
              <a:defRPr b="0"/>
            </a:pPr>
            <a:endParaRPr lang="en-US"/>
          </a:p>
        </c:txPr>
        <c:crossAx val="137265152"/>
        <c:crosses val="autoZero"/>
        <c:auto val="1"/>
        <c:lblAlgn val="ctr"/>
        <c:lblOffset val="100"/>
      </c:catAx>
      <c:valAx>
        <c:axId val="137265152"/>
        <c:scaling>
          <c:orientation val="minMax"/>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78878336"/>
        <c:crosses val="autoZero"/>
        <c:crossBetween val="between"/>
        <c:majorUnit val="10"/>
      </c:valAx>
    </c:plotArea>
    <c:legend>
      <c:legendPos val="b"/>
      <c:layout>
        <c:manualLayout>
          <c:xMode val="edge"/>
          <c:yMode val="edge"/>
          <c:x val="0.20301022861148529"/>
          <c:y val="0.82066529990922255"/>
          <c:w val="0.68780227074519695"/>
          <c:h val="0.14034793458407413"/>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3 Spelling</a:t>
            </a:r>
          </a:p>
        </c:rich>
      </c:tx>
      <c:spPr>
        <a:ln w="0"/>
      </c:spPr>
    </c:title>
    <c:plotArea>
      <c:layout>
        <c:manualLayout>
          <c:layoutTarget val="inner"/>
          <c:xMode val="edge"/>
          <c:yMode val="edge"/>
          <c:x val="0.20106736918392762"/>
          <c:y val="0.15769320247953494"/>
          <c:w val="0.77078564444594488"/>
          <c:h val="0.53167057173311361"/>
        </c:manualLayout>
      </c:layout>
      <c:barChart>
        <c:barDir val="col"/>
        <c:grouping val="clustered"/>
        <c:ser>
          <c:idx val="0"/>
          <c:order val="0"/>
          <c:tx>
            <c:strRef>
              <c:f>'Tables and Graphs'!$Y$10:$AA$10</c:f>
              <c:strCache>
                <c:ptCount val="1"/>
                <c:pt idx="0">
                  <c:v>Percentage in Band</c:v>
                </c:pt>
              </c:strCache>
            </c:strRef>
          </c:tx>
          <c:spPr>
            <a:solidFill>
              <a:schemeClr val="accent2">
                <a:lumMod val="60000"/>
                <a:lumOff val="40000"/>
              </a:schemeClr>
            </a:solidFill>
            <a:ln>
              <a:solidFill>
                <a:sysClr val="windowText" lastClr="000000"/>
              </a:solidFill>
            </a:ln>
          </c:spPr>
          <c:val>
            <c:numRef>
              <c:f>'Tables and Graphs'!$AB$14:$AG$14</c:f>
              <c:numCache>
                <c:formatCode>0.0</c:formatCode>
                <c:ptCount val="6"/>
                <c:pt idx="0">
                  <c:v>2.7777777777778008</c:v>
                </c:pt>
                <c:pt idx="1">
                  <c:v>5.5555555555555243</c:v>
                </c:pt>
                <c:pt idx="2">
                  <c:v>25</c:v>
                </c:pt>
                <c:pt idx="3">
                  <c:v>27.777777777777779</c:v>
                </c:pt>
                <c:pt idx="4">
                  <c:v>25</c:v>
                </c:pt>
                <c:pt idx="5">
                  <c:v>13.888888888888889</c:v>
                </c:pt>
              </c:numCache>
            </c:numRef>
          </c:val>
        </c:ser>
        <c:ser>
          <c:idx val="1"/>
          <c:order val="1"/>
          <c:tx>
            <c:strRef>
              <c:f>'Tables and Graphs'!$Y$11:$AA$11</c:f>
              <c:strCache>
                <c:ptCount val="1"/>
                <c:pt idx="0">
                  <c:v>School Average 2008-2011</c:v>
                </c:pt>
              </c:strCache>
            </c:strRef>
          </c:tx>
          <c:spPr>
            <a:solidFill>
              <a:schemeClr val="accent4">
                <a:lumMod val="60000"/>
                <a:lumOff val="40000"/>
              </a:schemeClr>
            </a:solidFill>
            <a:ln>
              <a:solidFill>
                <a:sysClr val="windowText" lastClr="000000"/>
              </a:solidFill>
            </a:ln>
          </c:spPr>
          <c:val>
            <c:numRef>
              <c:f>'Tables and Graphs'!$AB$15:$AG$15</c:f>
              <c:numCache>
                <c:formatCode>0.0</c:formatCode>
                <c:ptCount val="6"/>
                <c:pt idx="0">
                  <c:v>2.7027027027027151</c:v>
                </c:pt>
                <c:pt idx="1">
                  <c:v>2.7027027027027151</c:v>
                </c:pt>
                <c:pt idx="2">
                  <c:v>11.486486486486545</c:v>
                </c:pt>
                <c:pt idx="3">
                  <c:v>15.54054054054054</c:v>
                </c:pt>
                <c:pt idx="4">
                  <c:v>22.297297297297288</c:v>
                </c:pt>
                <c:pt idx="5">
                  <c:v>27.027027027027028</c:v>
                </c:pt>
              </c:numCache>
            </c:numRef>
          </c:val>
        </c:ser>
        <c:ser>
          <c:idx val="2"/>
          <c:order val="2"/>
          <c:tx>
            <c:strRef>
              <c:f>'Tables and Graphs'!$Y$12:$AA$12</c:f>
              <c:strCache>
                <c:ptCount val="1"/>
                <c:pt idx="0">
                  <c:v>SSG % in Band 2011</c:v>
                </c:pt>
              </c:strCache>
            </c:strRef>
          </c:tx>
          <c:spPr>
            <a:solidFill>
              <a:schemeClr val="accent3">
                <a:lumMod val="60000"/>
                <a:lumOff val="40000"/>
              </a:schemeClr>
            </a:solidFill>
            <a:ln>
              <a:solidFill>
                <a:sysClr val="windowText" lastClr="000000"/>
              </a:solidFill>
            </a:ln>
          </c:spPr>
          <c:val>
            <c:numRef>
              <c:f>'Tables and Graphs'!$AB$12:$AG$12</c:f>
              <c:numCache>
                <c:formatCode>0.0</c:formatCode>
                <c:ptCount val="6"/>
                <c:pt idx="0">
                  <c:v>2.2000000000000002</c:v>
                </c:pt>
                <c:pt idx="1">
                  <c:v>5.5</c:v>
                </c:pt>
                <c:pt idx="2">
                  <c:v>16.399999999999999</c:v>
                </c:pt>
                <c:pt idx="3">
                  <c:v>20</c:v>
                </c:pt>
                <c:pt idx="4">
                  <c:v>26.2</c:v>
                </c:pt>
                <c:pt idx="5">
                  <c:v>29.7</c:v>
                </c:pt>
              </c:numCache>
            </c:numRef>
          </c:val>
        </c:ser>
        <c:ser>
          <c:idx val="3"/>
          <c:order val="3"/>
          <c:tx>
            <c:strRef>
              <c:f>'Tables and Graphs'!$Y$13:$AA$13</c:f>
              <c:strCache>
                <c:ptCount val="1"/>
                <c:pt idx="0">
                  <c:v>State DEC % in Band 2011</c:v>
                </c:pt>
              </c:strCache>
            </c:strRef>
          </c:tx>
          <c:spPr>
            <a:solidFill>
              <a:schemeClr val="tx2">
                <a:lumMod val="40000"/>
                <a:lumOff val="60000"/>
              </a:schemeClr>
            </a:solidFill>
            <a:ln>
              <a:solidFill>
                <a:sysClr val="windowText" lastClr="000000"/>
              </a:solidFill>
            </a:ln>
          </c:spPr>
          <c:val>
            <c:numRef>
              <c:f>'Tables and Graphs'!$AB$13:$AG$13</c:f>
              <c:numCache>
                <c:formatCode>0.0</c:formatCode>
                <c:ptCount val="6"/>
                <c:pt idx="0">
                  <c:v>4.4000000000000004</c:v>
                </c:pt>
                <c:pt idx="1">
                  <c:v>7.9</c:v>
                </c:pt>
                <c:pt idx="2">
                  <c:v>19.399999999999999</c:v>
                </c:pt>
                <c:pt idx="3">
                  <c:v>20.3</c:v>
                </c:pt>
                <c:pt idx="4">
                  <c:v>24.8</c:v>
                </c:pt>
                <c:pt idx="5">
                  <c:v>23.1</c:v>
                </c:pt>
              </c:numCache>
            </c:numRef>
          </c:val>
        </c:ser>
        <c:axId val="139688192"/>
        <c:axId val="139714944"/>
      </c:barChart>
      <c:catAx>
        <c:axId val="139688192"/>
        <c:scaling>
          <c:orientation val="minMax"/>
        </c:scaling>
        <c:axPos val="b"/>
        <c:title>
          <c:tx>
            <c:rich>
              <a:bodyPr/>
              <a:lstStyle/>
              <a:p>
                <a:pPr>
                  <a:defRPr/>
                </a:pPr>
                <a:r>
                  <a:rPr lang="en-AU"/>
                  <a:t>Bands</a:t>
                </a:r>
              </a:p>
            </c:rich>
          </c:tx>
          <c:layout>
            <c:manualLayout>
              <c:xMode val="edge"/>
              <c:yMode val="edge"/>
              <c:x val="0.45247994721043017"/>
              <c:y val="0.75331477974097349"/>
            </c:manualLayout>
          </c:layout>
        </c:title>
        <c:tickLblPos val="nextTo"/>
        <c:txPr>
          <a:bodyPr/>
          <a:lstStyle/>
          <a:p>
            <a:pPr>
              <a:defRPr b="0"/>
            </a:pPr>
            <a:endParaRPr lang="en-US"/>
          </a:p>
        </c:txPr>
        <c:crossAx val="139714944"/>
        <c:crosses val="autoZero"/>
        <c:auto val="1"/>
        <c:lblAlgn val="ctr"/>
        <c:lblOffset val="100"/>
      </c:catAx>
      <c:valAx>
        <c:axId val="139714944"/>
        <c:scaling>
          <c:orientation val="minMax"/>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39688192"/>
        <c:crosses val="autoZero"/>
        <c:crossBetween val="between"/>
      </c:valAx>
    </c:plotArea>
    <c:legend>
      <c:legendPos val="b"/>
      <c:layout>
        <c:manualLayout>
          <c:xMode val="edge"/>
          <c:yMode val="edge"/>
          <c:x val="0.20301016730836771"/>
          <c:y val="0.80963857312373289"/>
          <c:w val="0.68780227074519695"/>
          <c:h val="0.1806778830784749"/>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3 Numeracy</a:t>
            </a:r>
          </a:p>
        </c:rich>
      </c:tx>
      <c:spPr>
        <a:ln w="0"/>
      </c:spPr>
    </c:title>
    <c:plotArea>
      <c:layout>
        <c:manualLayout>
          <c:layoutTarget val="inner"/>
          <c:xMode val="edge"/>
          <c:yMode val="edge"/>
          <c:x val="0.20106736918392773"/>
          <c:y val="0.15769320247953494"/>
          <c:w val="0.77078564444594511"/>
          <c:h val="0.53933584899283049"/>
        </c:manualLayout>
      </c:layout>
      <c:barChart>
        <c:barDir val="col"/>
        <c:grouping val="clustered"/>
        <c:ser>
          <c:idx val="0"/>
          <c:order val="0"/>
          <c:tx>
            <c:strRef>
              <c:f>'Tables and Graphs'!$AK$10:$AM$10</c:f>
              <c:strCache>
                <c:ptCount val="1"/>
                <c:pt idx="0">
                  <c:v>Percentage in Band</c:v>
                </c:pt>
              </c:strCache>
            </c:strRef>
          </c:tx>
          <c:spPr>
            <a:solidFill>
              <a:schemeClr val="accent2">
                <a:lumMod val="60000"/>
                <a:lumOff val="40000"/>
              </a:schemeClr>
            </a:solidFill>
            <a:ln>
              <a:solidFill>
                <a:sysClr val="windowText" lastClr="000000"/>
              </a:solidFill>
            </a:ln>
          </c:spPr>
          <c:val>
            <c:numRef>
              <c:f>'Tables and Graphs'!$AN$14:$AS$14</c:f>
              <c:numCache>
                <c:formatCode>0.0</c:formatCode>
                <c:ptCount val="6"/>
                <c:pt idx="0">
                  <c:v>5.5555555555555243</c:v>
                </c:pt>
                <c:pt idx="1">
                  <c:v>16.666666666666664</c:v>
                </c:pt>
                <c:pt idx="2">
                  <c:v>25</c:v>
                </c:pt>
                <c:pt idx="3">
                  <c:v>25</c:v>
                </c:pt>
                <c:pt idx="4">
                  <c:v>13.888888888888889</c:v>
                </c:pt>
                <c:pt idx="5">
                  <c:v>13.888888888888889</c:v>
                </c:pt>
              </c:numCache>
            </c:numRef>
          </c:val>
        </c:ser>
        <c:ser>
          <c:idx val="1"/>
          <c:order val="1"/>
          <c:tx>
            <c:strRef>
              <c:f>'Tables and Graphs'!$AK$11:$AM$11</c:f>
              <c:strCache>
                <c:ptCount val="1"/>
                <c:pt idx="0">
                  <c:v>School Average 2008-2011</c:v>
                </c:pt>
              </c:strCache>
            </c:strRef>
          </c:tx>
          <c:spPr>
            <a:solidFill>
              <a:schemeClr val="accent4">
                <a:lumMod val="60000"/>
                <a:lumOff val="40000"/>
              </a:schemeClr>
            </a:solidFill>
            <a:ln>
              <a:solidFill>
                <a:sysClr val="windowText" lastClr="000000"/>
              </a:solidFill>
            </a:ln>
          </c:spPr>
          <c:val>
            <c:numRef>
              <c:f>'Tables and Graphs'!$AN$15:$AS$15</c:f>
              <c:numCache>
                <c:formatCode>0.0</c:formatCode>
                <c:ptCount val="6"/>
                <c:pt idx="0">
                  <c:v>2.0547945205479605</c:v>
                </c:pt>
                <c:pt idx="1">
                  <c:v>8.9041095890410968</c:v>
                </c:pt>
                <c:pt idx="2">
                  <c:v>23.972602739725783</c:v>
                </c:pt>
                <c:pt idx="3">
                  <c:v>23.972602739725783</c:v>
                </c:pt>
                <c:pt idx="4">
                  <c:v>22.602739726027281</c:v>
                </c:pt>
                <c:pt idx="5">
                  <c:v>18.493150684931489</c:v>
                </c:pt>
              </c:numCache>
            </c:numRef>
          </c:val>
        </c:ser>
        <c:ser>
          <c:idx val="2"/>
          <c:order val="2"/>
          <c:tx>
            <c:strRef>
              <c:f>'Tables and Graphs'!$AK$12:$AM$12</c:f>
              <c:strCache>
                <c:ptCount val="1"/>
                <c:pt idx="0">
                  <c:v>SSG % in Band 2011</c:v>
                </c:pt>
              </c:strCache>
            </c:strRef>
          </c:tx>
          <c:spPr>
            <a:solidFill>
              <a:schemeClr val="accent3">
                <a:lumMod val="60000"/>
                <a:lumOff val="40000"/>
              </a:schemeClr>
            </a:solidFill>
            <a:ln>
              <a:solidFill>
                <a:sysClr val="windowText" lastClr="000000"/>
              </a:solidFill>
            </a:ln>
          </c:spPr>
          <c:val>
            <c:numRef>
              <c:f>'Tables and Graphs'!$AN$12:$AS$12</c:f>
              <c:numCache>
                <c:formatCode>0.0</c:formatCode>
                <c:ptCount val="6"/>
                <c:pt idx="0">
                  <c:v>1.7</c:v>
                </c:pt>
                <c:pt idx="1">
                  <c:v>9.9</c:v>
                </c:pt>
                <c:pt idx="2">
                  <c:v>18.3</c:v>
                </c:pt>
                <c:pt idx="3">
                  <c:v>27.8</c:v>
                </c:pt>
                <c:pt idx="4">
                  <c:v>21.7</c:v>
                </c:pt>
                <c:pt idx="5">
                  <c:v>20.5</c:v>
                </c:pt>
              </c:numCache>
            </c:numRef>
          </c:val>
        </c:ser>
        <c:ser>
          <c:idx val="3"/>
          <c:order val="3"/>
          <c:tx>
            <c:strRef>
              <c:f>'Tables and Graphs'!$AK$13:$AM$13</c:f>
              <c:strCache>
                <c:ptCount val="1"/>
                <c:pt idx="0">
                  <c:v>State DEC % in Band 2011</c:v>
                </c:pt>
              </c:strCache>
            </c:strRef>
          </c:tx>
          <c:spPr>
            <a:solidFill>
              <a:schemeClr val="tx2">
                <a:lumMod val="40000"/>
                <a:lumOff val="60000"/>
              </a:schemeClr>
            </a:solidFill>
            <a:ln>
              <a:solidFill>
                <a:sysClr val="windowText" lastClr="000000"/>
              </a:solidFill>
            </a:ln>
          </c:spPr>
          <c:val>
            <c:numRef>
              <c:f>'Tables and Graphs'!$AN$13:$AS$13</c:f>
              <c:numCache>
                <c:formatCode>0.0</c:formatCode>
                <c:ptCount val="6"/>
                <c:pt idx="0">
                  <c:v>3.5</c:v>
                </c:pt>
                <c:pt idx="1">
                  <c:v>13.6</c:v>
                </c:pt>
                <c:pt idx="2">
                  <c:v>20.8</c:v>
                </c:pt>
                <c:pt idx="3">
                  <c:v>25.7</c:v>
                </c:pt>
                <c:pt idx="4">
                  <c:v>20</c:v>
                </c:pt>
                <c:pt idx="5">
                  <c:v>16.399999999999999</c:v>
                </c:pt>
              </c:numCache>
            </c:numRef>
          </c:val>
        </c:ser>
        <c:axId val="139795072"/>
        <c:axId val="139805440"/>
      </c:barChart>
      <c:catAx>
        <c:axId val="139795072"/>
        <c:scaling>
          <c:orientation val="minMax"/>
        </c:scaling>
        <c:axPos val="b"/>
        <c:title>
          <c:tx>
            <c:rich>
              <a:bodyPr/>
              <a:lstStyle/>
              <a:p>
                <a:pPr>
                  <a:defRPr/>
                </a:pPr>
                <a:r>
                  <a:rPr lang="en-AU"/>
                  <a:t>Bands</a:t>
                </a:r>
              </a:p>
            </c:rich>
          </c:tx>
          <c:layout>
            <c:manualLayout>
              <c:xMode val="edge"/>
              <c:yMode val="edge"/>
              <c:x val="0.45247996791353351"/>
              <c:y val="0.76098005700069871"/>
            </c:manualLayout>
          </c:layout>
        </c:title>
        <c:tickLblPos val="nextTo"/>
        <c:txPr>
          <a:bodyPr/>
          <a:lstStyle/>
          <a:p>
            <a:pPr>
              <a:defRPr b="0"/>
            </a:pPr>
            <a:endParaRPr lang="en-US"/>
          </a:p>
        </c:txPr>
        <c:crossAx val="139805440"/>
        <c:crosses val="autoZero"/>
        <c:auto val="1"/>
        <c:lblAlgn val="ctr"/>
        <c:lblOffset val="100"/>
      </c:catAx>
      <c:valAx>
        <c:axId val="139805440"/>
        <c:scaling>
          <c:orientation val="minMax"/>
          <c:min val="0"/>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39795072"/>
        <c:crosses val="autoZero"/>
        <c:crossBetween val="between"/>
        <c:majorUnit val="10"/>
      </c:valAx>
    </c:plotArea>
    <c:legend>
      <c:legendPos val="b"/>
      <c:layout>
        <c:manualLayout>
          <c:xMode val="edge"/>
          <c:yMode val="edge"/>
          <c:x val="0.19836266786112691"/>
          <c:y val="0.81780933618699625"/>
          <c:w val="0.68780227074519695"/>
          <c:h val="0.1806778830784749"/>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5 Reading</a:t>
            </a:r>
          </a:p>
        </c:rich>
      </c:tx>
      <c:spPr>
        <a:ln w="0"/>
      </c:spPr>
    </c:title>
    <c:plotArea>
      <c:layout>
        <c:manualLayout>
          <c:layoutTarget val="inner"/>
          <c:xMode val="edge"/>
          <c:yMode val="edge"/>
          <c:x val="0.20106736918392762"/>
          <c:y val="0.15769320247953494"/>
          <c:w val="0.77078564444594488"/>
          <c:h val="0.53934067751394477"/>
        </c:manualLayout>
      </c:layout>
      <c:barChart>
        <c:barDir val="col"/>
        <c:grouping val="clustered"/>
        <c:ser>
          <c:idx val="0"/>
          <c:order val="0"/>
          <c:tx>
            <c:strRef>
              <c:f>'Tables and Graphs'!$AW$10:$AY$10</c:f>
              <c:strCache>
                <c:ptCount val="1"/>
                <c:pt idx="0">
                  <c:v>Percentage in Band</c:v>
                </c:pt>
              </c:strCache>
            </c:strRef>
          </c:tx>
          <c:spPr>
            <a:solidFill>
              <a:schemeClr val="accent2">
                <a:lumMod val="60000"/>
                <a:lumOff val="40000"/>
              </a:schemeClr>
            </a:solidFill>
            <a:ln>
              <a:solidFill>
                <a:sysClr val="windowText" lastClr="000000"/>
              </a:solidFill>
            </a:ln>
          </c:spPr>
          <c:cat>
            <c:numRef>
              <c:f>'Tables and Graphs'!$AZ$8:$BE$8</c:f>
              <c:numCache>
                <c:formatCode>General</c:formatCode>
                <c:ptCount val="6"/>
                <c:pt idx="0">
                  <c:v>3</c:v>
                </c:pt>
                <c:pt idx="1">
                  <c:v>4</c:v>
                </c:pt>
                <c:pt idx="2">
                  <c:v>5</c:v>
                </c:pt>
                <c:pt idx="3">
                  <c:v>6</c:v>
                </c:pt>
                <c:pt idx="4">
                  <c:v>7</c:v>
                </c:pt>
                <c:pt idx="5">
                  <c:v>8</c:v>
                </c:pt>
              </c:numCache>
            </c:numRef>
          </c:cat>
          <c:val>
            <c:numRef>
              <c:f>'Tables and Graphs'!$AZ$14:$BE$14</c:f>
              <c:numCache>
                <c:formatCode>0.0</c:formatCode>
                <c:ptCount val="6"/>
                <c:pt idx="0">
                  <c:v>5</c:v>
                </c:pt>
                <c:pt idx="1">
                  <c:v>5</c:v>
                </c:pt>
                <c:pt idx="2">
                  <c:v>20</c:v>
                </c:pt>
                <c:pt idx="3">
                  <c:v>32.5</c:v>
                </c:pt>
                <c:pt idx="4">
                  <c:v>17.5</c:v>
                </c:pt>
                <c:pt idx="5">
                  <c:v>20</c:v>
                </c:pt>
              </c:numCache>
            </c:numRef>
          </c:val>
        </c:ser>
        <c:ser>
          <c:idx val="1"/>
          <c:order val="1"/>
          <c:tx>
            <c:strRef>
              <c:f>'Tables and Graphs'!$AW$11:$AY$11</c:f>
              <c:strCache>
                <c:ptCount val="1"/>
                <c:pt idx="0">
                  <c:v>School Average 2008-2011</c:v>
                </c:pt>
              </c:strCache>
            </c:strRef>
          </c:tx>
          <c:spPr>
            <a:solidFill>
              <a:schemeClr val="accent4">
                <a:lumMod val="60000"/>
                <a:lumOff val="40000"/>
              </a:schemeClr>
            </a:solidFill>
            <a:ln>
              <a:solidFill>
                <a:sysClr val="windowText" lastClr="000000"/>
              </a:solidFill>
            </a:ln>
          </c:spPr>
          <c:cat>
            <c:numRef>
              <c:f>'Tables and Graphs'!$AZ$8:$BE$8</c:f>
              <c:numCache>
                <c:formatCode>General</c:formatCode>
                <c:ptCount val="6"/>
                <c:pt idx="0">
                  <c:v>3</c:v>
                </c:pt>
                <c:pt idx="1">
                  <c:v>4</c:v>
                </c:pt>
                <c:pt idx="2">
                  <c:v>5</c:v>
                </c:pt>
                <c:pt idx="3">
                  <c:v>6</c:v>
                </c:pt>
                <c:pt idx="4">
                  <c:v>7</c:v>
                </c:pt>
                <c:pt idx="5">
                  <c:v>8</c:v>
                </c:pt>
              </c:numCache>
            </c:numRef>
          </c:cat>
          <c:val>
            <c:numRef>
              <c:f>'Tables and Graphs'!$AZ$15:$BE$15</c:f>
              <c:numCache>
                <c:formatCode>0.0</c:formatCode>
                <c:ptCount val="6"/>
                <c:pt idx="0">
                  <c:v>5.5944055944055755</c:v>
                </c:pt>
                <c:pt idx="1">
                  <c:v>9.79020979020979</c:v>
                </c:pt>
                <c:pt idx="2">
                  <c:v>18.181818181818301</c:v>
                </c:pt>
                <c:pt idx="3">
                  <c:v>22.377622377622266</c:v>
                </c:pt>
                <c:pt idx="4">
                  <c:v>20.279720279720085</c:v>
                </c:pt>
                <c:pt idx="5">
                  <c:v>23.77622377622367</c:v>
                </c:pt>
              </c:numCache>
            </c:numRef>
          </c:val>
        </c:ser>
        <c:ser>
          <c:idx val="2"/>
          <c:order val="2"/>
          <c:tx>
            <c:strRef>
              <c:f>'Tables and Graphs'!$AW$12:$AY$12</c:f>
              <c:strCache>
                <c:ptCount val="1"/>
                <c:pt idx="0">
                  <c:v>SSG % in Band 2011</c:v>
                </c:pt>
              </c:strCache>
            </c:strRef>
          </c:tx>
          <c:spPr>
            <a:solidFill>
              <a:schemeClr val="accent3">
                <a:lumMod val="60000"/>
                <a:lumOff val="40000"/>
              </a:schemeClr>
            </a:solidFill>
            <a:ln>
              <a:solidFill>
                <a:sysClr val="windowText" lastClr="000000"/>
              </a:solidFill>
            </a:ln>
          </c:spPr>
          <c:cat>
            <c:numRef>
              <c:f>'Tables and Graphs'!$AZ$8:$BE$8</c:f>
              <c:numCache>
                <c:formatCode>General</c:formatCode>
                <c:ptCount val="6"/>
                <c:pt idx="0">
                  <c:v>3</c:v>
                </c:pt>
                <c:pt idx="1">
                  <c:v>4</c:v>
                </c:pt>
                <c:pt idx="2">
                  <c:v>5</c:v>
                </c:pt>
                <c:pt idx="3">
                  <c:v>6</c:v>
                </c:pt>
                <c:pt idx="4">
                  <c:v>7</c:v>
                </c:pt>
                <c:pt idx="5">
                  <c:v>8</c:v>
                </c:pt>
              </c:numCache>
            </c:numRef>
          </c:cat>
          <c:val>
            <c:numRef>
              <c:f>'Tables and Graphs'!$AZ$12:$BE$12</c:f>
              <c:numCache>
                <c:formatCode>0.0</c:formatCode>
                <c:ptCount val="6"/>
                <c:pt idx="0">
                  <c:v>5.3</c:v>
                </c:pt>
                <c:pt idx="1">
                  <c:v>10.4</c:v>
                </c:pt>
                <c:pt idx="2">
                  <c:v>26.4</c:v>
                </c:pt>
                <c:pt idx="3">
                  <c:v>22.2</c:v>
                </c:pt>
                <c:pt idx="4">
                  <c:v>19.100000000000001</c:v>
                </c:pt>
                <c:pt idx="5">
                  <c:v>16.5</c:v>
                </c:pt>
              </c:numCache>
            </c:numRef>
          </c:val>
        </c:ser>
        <c:ser>
          <c:idx val="3"/>
          <c:order val="3"/>
          <c:tx>
            <c:strRef>
              <c:f>'Tables and Graphs'!$AW$13:$AY$13</c:f>
              <c:strCache>
                <c:ptCount val="1"/>
                <c:pt idx="0">
                  <c:v>State DEC % in Band 2011</c:v>
                </c:pt>
              </c:strCache>
            </c:strRef>
          </c:tx>
          <c:spPr>
            <a:solidFill>
              <a:schemeClr val="tx2">
                <a:lumMod val="40000"/>
                <a:lumOff val="60000"/>
              </a:schemeClr>
            </a:solidFill>
            <a:ln>
              <a:solidFill>
                <a:sysClr val="windowText" lastClr="000000"/>
              </a:solidFill>
            </a:ln>
          </c:spPr>
          <c:cat>
            <c:numRef>
              <c:f>'Tables and Graphs'!$AZ$8:$BE$8</c:f>
              <c:numCache>
                <c:formatCode>General</c:formatCode>
                <c:ptCount val="6"/>
                <c:pt idx="0">
                  <c:v>3</c:v>
                </c:pt>
                <c:pt idx="1">
                  <c:v>4</c:v>
                </c:pt>
                <c:pt idx="2">
                  <c:v>5</c:v>
                </c:pt>
                <c:pt idx="3">
                  <c:v>6</c:v>
                </c:pt>
                <c:pt idx="4">
                  <c:v>7</c:v>
                </c:pt>
                <c:pt idx="5">
                  <c:v>8</c:v>
                </c:pt>
              </c:numCache>
            </c:numRef>
          </c:cat>
          <c:val>
            <c:numRef>
              <c:f>'Tables and Graphs'!$AZ$13:$BE$13</c:f>
              <c:numCache>
                <c:formatCode>0.0</c:formatCode>
                <c:ptCount val="6"/>
                <c:pt idx="0">
                  <c:v>8.8000000000000007</c:v>
                </c:pt>
                <c:pt idx="1">
                  <c:v>12.6</c:v>
                </c:pt>
                <c:pt idx="2">
                  <c:v>27</c:v>
                </c:pt>
                <c:pt idx="3">
                  <c:v>19.899999999999999</c:v>
                </c:pt>
                <c:pt idx="4">
                  <c:v>17.5</c:v>
                </c:pt>
                <c:pt idx="5">
                  <c:v>14.3</c:v>
                </c:pt>
              </c:numCache>
            </c:numRef>
          </c:val>
        </c:ser>
        <c:axId val="139828224"/>
        <c:axId val="139838592"/>
      </c:barChart>
      <c:catAx>
        <c:axId val="139828224"/>
        <c:scaling>
          <c:orientation val="minMax"/>
        </c:scaling>
        <c:axPos val="b"/>
        <c:title>
          <c:tx>
            <c:rich>
              <a:bodyPr/>
              <a:lstStyle/>
              <a:p>
                <a:pPr>
                  <a:defRPr/>
                </a:pPr>
                <a:r>
                  <a:rPr lang="en-AU"/>
                  <a:t>Bands</a:t>
                </a:r>
              </a:p>
            </c:rich>
          </c:tx>
          <c:layout>
            <c:manualLayout>
              <c:xMode val="edge"/>
              <c:yMode val="edge"/>
              <c:x val="0.45248008089357711"/>
              <c:y val="0.76098005700069871"/>
            </c:manualLayout>
          </c:layout>
        </c:title>
        <c:numFmt formatCode="General" sourceLinked="1"/>
        <c:tickLblPos val="nextTo"/>
        <c:txPr>
          <a:bodyPr/>
          <a:lstStyle/>
          <a:p>
            <a:pPr>
              <a:defRPr b="0"/>
            </a:pPr>
            <a:endParaRPr lang="en-US"/>
          </a:p>
        </c:txPr>
        <c:crossAx val="139838592"/>
        <c:crosses val="autoZero"/>
        <c:auto val="1"/>
        <c:lblAlgn val="ctr"/>
        <c:lblOffset val="100"/>
      </c:catAx>
      <c:valAx>
        <c:axId val="139838592"/>
        <c:scaling>
          <c:orientation val="minMax"/>
          <c:min val="0"/>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39828224"/>
        <c:crosses val="autoZero"/>
        <c:crossBetween val="between"/>
        <c:majorUnit val="10"/>
      </c:valAx>
    </c:plotArea>
    <c:legend>
      <c:legendPos val="b"/>
      <c:layout>
        <c:manualLayout>
          <c:xMode val="edge"/>
          <c:yMode val="edge"/>
          <c:x val="0.20301028958776454"/>
          <c:y val="0.81780933618699625"/>
          <c:w val="0.68780227074519695"/>
          <c:h val="0.1806778830784749"/>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5 Grammar &amp; Punctuation</a:t>
            </a:r>
          </a:p>
        </c:rich>
      </c:tx>
      <c:spPr>
        <a:ln w="0"/>
      </c:spPr>
    </c:title>
    <c:plotArea>
      <c:layout>
        <c:manualLayout>
          <c:layoutTarget val="inner"/>
          <c:xMode val="edge"/>
          <c:yMode val="edge"/>
          <c:x val="0.20106736918392779"/>
          <c:y val="0.15769320247953494"/>
          <c:w val="0.77078564444594533"/>
          <c:h val="0.53933584899283049"/>
        </c:manualLayout>
      </c:layout>
      <c:barChart>
        <c:barDir val="col"/>
        <c:grouping val="clustered"/>
        <c:ser>
          <c:idx val="0"/>
          <c:order val="0"/>
          <c:tx>
            <c:strRef>
              <c:f>'Tables and Graphs'!$BI$23:$BK$23</c:f>
              <c:strCache>
                <c:ptCount val="1"/>
                <c:pt idx="0">
                  <c:v>Percentage in Band</c:v>
                </c:pt>
              </c:strCache>
            </c:strRef>
          </c:tx>
          <c:spPr>
            <a:solidFill>
              <a:schemeClr val="accent2">
                <a:lumMod val="60000"/>
                <a:lumOff val="40000"/>
              </a:schemeClr>
            </a:solidFill>
            <a:ln>
              <a:solidFill>
                <a:sysClr val="windowText" lastClr="000000"/>
              </a:solidFill>
            </a:ln>
          </c:spPr>
          <c:cat>
            <c:numRef>
              <c:f>'Tables and Graphs'!$BL$21:$BQ$21</c:f>
              <c:numCache>
                <c:formatCode>General</c:formatCode>
                <c:ptCount val="6"/>
                <c:pt idx="0">
                  <c:v>3</c:v>
                </c:pt>
                <c:pt idx="1">
                  <c:v>4</c:v>
                </c:pt>
                <c:pt idx="2">
                  <c:v>5</c:v>
                </c:pt>
                <c:pt idx="3">
                  <c:v>6</c:v>
                </c:pt>
                <c:pt idx="4">
                  <c:v>7</c:v>
                </c:pt>
                <c:pt idx="5">
                  <c:v>8</c:v>
                </c:pt>
              </c:numCache>
            </c:numRef>
          </c:cat>
          <c:val>
            <c:numRef>
              <c:f>'Tables and Graphs'!$BL$27:$BQ$27</c:f>
              <c:numCache>
                <c:formatCode>0.0</c:formatCode>
                <c:ptCount val="6"/>
                <c:pt idx="0">
                  <c:v>2.5</c:v>
                </c:pt>
                <c:pt idx="1">
                  <c:v>7.5</c:v>
                </c:pt>
                <c:pt idx="2">
                  <c:v>27.500000000000004</c:v>
                </c:pt>
                <c:pt idx="3">
                  <c:v>25</c:v>
                </c:pt>
                <c:pt idx="4">
                  <c:v>22.5</c:v>
                </c:pt>
                <c:pt idx="5">
                  <c:v>15</c:v>
                </c:pt>
              </c:numCache>
            </c:numRef>
          </c:val>
        </c:ser>
        <c:ser>
          <c:idx val="1"/>
          <c:order val="1"/>
          <c:tx>
            <c:strRef>
              <c:f>'Tables and Graphs'!$BI$24:$BK$24</c:f>
              <c:strCache>
                <c:ptCount val="1"/>
                <c:pt idx="0">
                  <c:v>School Average 2008-2011</c:v>
                </c:pt>
              </c:strCache>
            </c:strRef>
          </c:tx>
          <c:spPr>
            <a:solidFill>
              <a:srgbClr val="8064A2">
                <a:lumMod val="60000"/>
                <a:lumOff val="40000"/>
              </a:srgbClr>
            </a:solidFill>
            <a:ln>
              <a:solidFill>
                <a:prstClr val="black"/>
              </a:solidFill>
            </a:ln>
          </c:spPr>
          <c:cat>
            <c:numRef>
              <c:f>'Tables and Graphs'!$BL$21:$BQ$21</c:f>
              <c:numCache>
                <c:formatCode>General</c:formatCode>
                <c:ptCount val="6"/>
                <c:pt idx="0">
                  <c:v>3</c:v>
                </c:pt>
                <c:pt idx="1">
                  <c:v>4</c:v>
                </c:pt>
                <c:pt idx="2">
                  <c:v>5</c:v>
                </c:pt>
                <c:pt idx="3">
                  <c:v>6</c:v>
                </c:pt>
                <c:pt idx="4">
                  <c:v>7</c:v>
                </c:pt>
                <c:pt idx="5">
                  <c:v>8</c:v>
                </c:pt>
              </c:numCache>
            </c:numRef>
          </c:cat>
          <c:val>
            <c:numRef>
              <c:f>'Tables and Graphs'!$BL$28:$BQ$28</c:f>
              <c:numCache>
                <c:formatCode>0.0</c:formatCode>
                <c:ptCount val="6"/>
                <c:pt idx="0">
                  <c:v>5.5944055944055755</c:v>
                </c:pt>
                <c:pt idx="1">
                  <c:v>9.79020979020979</c:v>
                </c:pt>
                <c:pt idx="2">
                  <c:v>18.181818181818301</c:v>
                </c:pt>
                <c:pt idx="3">
                  <c:v>20.979020979020866</c:v>
                </c:pt>
                <c:pt idx="4">
                  <c:v>29.370629370629185</c:v>
                </c:pt>
                <c:pt idx="5">
                  <c:v>16.083916083916083</c:v>
                </c:pt>
              </c:numCache>
            </c:numRef>
          </c:val>
        </c:ser>
        <c:ser>
          <c:idx val="2"/>
          <c:order val="2"/>
          <c:tx>
            <c:strRef>
              <c:f>'Tables and Graphs'!$BI$25:$BK$25</c:f>
              <c:strCache>
                <c:ptCount val="1"/>
                <c:pt idx="0">
                  <c:v>SSG % in Band 2011</c:v>
                </c:pt>
              </c:strCache>
            </c:strRef>
          </c:tx>
          <c:spPr>
            <a:solidFill>
              <a:schemeClr val="accent3">
                <a:lumMod val="60000"/>
                <a:lumOff val="40000"/>
              </a:schemeClr>
            </a:solidFill>
            <a:ln>
              <a:solidFill>
                <a:sysClr val="windowText" lastClr="000000"/>
              </a:solidFill>
            </a:ln>
          </c:spPr>
          <c:cat>
            <c:numRef>
              <c:f>'Tables and Graphs'!$BL$21:$BQ$21</c:f>
              <c:numCache>
                <c:formatCode>General</c:formatCode>
                <c:ptCount val="6"/>
                <c:pt idx="0">
                  <c:v>3</c:v>
                </c:pt>
                <c:pt idx="1">
                  <c:v>4</c:v>
                </c:pt>
                <c:pt idx="2">
                  <c:v>5</c:v>
                </c:pt>
                <c:pt idx="3">
                  <c:v>6</c:v>
                </c:pt>
                <c:pt idx="4">
                  <c:v>7</c:v>
                </c:pt>
                <c:pt idx="5">
                  <c:v>8</c:v>
                </c:pt>
              </c:numCache>
            </c:numRef>
          </c:cat>
          <c:val>
            <c:numRef>
              <c:f>'Tables and Graphs'!$BL$25:$BQ$25</c:f>
              <c:numCache>
                <c:formatCode>0.0</c:formatCode>
                <c:ptCount val="6"/>
                <c:pt idx="0">
                  <c:v>4.5999999999999996</c:v>
                </c:pt>
                <c:pt idx="1">
                  <c:v>7.3</c:v>
                </c:pt>
                <c:pt idx="2">
                  <c:v>20.6</c:v>
                </c:pt>
                <c:pt idx="3">
                  <c:v>23.5</c:v>
                </c:pt>
                <c:pt idx="4">
                  <c:v>27</c:v>
                </c:pt>
                <c:pt idx="5">
                  <c:v>17</c:v>
                </c:pt>
              </c:numCache>
            </c:numRef>
          </c:val>
        </c:ser>
        <c:ser>
          <c:idx val="3"/>
          <c:order val="3"/>
          <c:tx>
            <c:strRef>
              <c:f>'Tables and Graphs'!$BI$26:$BK$26</c:f>
              <c:strCache>
                <c:ptCount val="1"/>
                <c:pt idx="0">
                  <c:v>State DEC % in Band 2011</c:v>
                </c:pt>
              </c:strCache>
            </c:strRef>
          </c:tx>
          <c:spPr>
            <a:solidFill>
              <a:schemeClr val="tx2">
                <a:lumMod val="40000"/>
                <a:lumOff val="60000"/>
              </a:schemeClr>
            </a:solidFill>
            <a:ln>
              <a:solidFill>
                <a:sysClr val="windowText" lastClr="000000"/>
              </a:solidFill>
            </a:ln>
          </c:spPr>
          <c:cat>
            <c:numRef>
              <c:f>'Tables and Graphs'!$BL$21:$BQ$21</c:f>
              <c:numCache>
                <c:formatCode>General</c:formatCode>
                <c:ptCount val="6"/>
                <c:pt idx="0">
                  <c:v>3</c:v>
                </c:pt>
                <c:pt idx="1">
                  <c:v>4</c:v>
                </c:pt>
                <c:pt idx="2">
                  <c:v>5</c:v>
                </c:pt>
                <c:pt idx="3">
                  <c:v>6</c:v>
                </c:pt>
                <c:pt idx="4">
                  <c:v>7</c:v>
                </c:pt>
                <c:pt idx="5">
                  <c:v>8</c:v>
                </c:pt>
              </c:numCache>
            </c:numRef>
          </c:cat>
          <c:val>
            <c:numRef>
              <c:f>'Tables and Graphs'!$BL$26:$BQ$26</c:f>
              <c:numCache>
                <c:formatCode>0.0</c:formatCode>
                <c:ptCount val="6"/>
                <c:pt idx="0">
                  <c:v>8</c:v>
                </c:pt>
                <c:pt idx="1">
                  <c:v>10</c:v>
                </c:pt>
                <c:pt idx="2">
                  <c:v>22.1</c:v>
                </c:pt>
                <c:pt idx="3">
                  <c:v>22.4</c:v>
                </c:pt>
                <c:pt idx="4">
                  <c:v>22.6</c:v>
                </c:pt>
                <c:pt idx="5">
                  <c:v>14.8</c:v>
                </c:pt>
              </c:numCache>
            </c:numRef>
          </c:val>
        </c:ser>
        <c:axId val="140119424"/>
        <c:axId val="140142080"/>
      </c:barChart>
      <c:catAx>
        <c:axId val="140119424"/>
        <c:scaling>
          <c:orientation val="minMax"/>
        </c:scaling>
        <c:axPos val="b"/>
        <c:title>
          <c:tx>
            <c:rich>
              <a:bodyPr/>
              <a:lstStyle/>
              <a:p>
                <a:pPr>
                  <a:defRPr/>
                </a:pPr>
                <a:r>
                  <a:rPr lang="en-AU"/>
                  <a:t>Bands</a:t>
                </a:r>
              </a:p>
            </c:rich>
          </c:tx>
          <c:layout>
            <c:manualLayout>
              <c:xMode val="edge"/>
              <c:yMode val="edge"/>
              <c:x val="0.45248008526355937"/>
              <c:y val="0.75714741837084321"/>
            </c:manualLayout>
          </c:layout>
        </c:title>
        <c:numFmt formatCode="General" sourceLinked="1"/>
        <c:tickLblPos val="nextTo"/>
        <c:txPr>
          <a:bodyPr/>
          <a:lstStyle/>
          <a:p>
            <a:pPr>
              <a:defRPr b="0"/>
            </a:pPr>
            <a:endParaRPr lang="en-US"/>
          </a:p>
        </c:txPr>
        <c:crossAx val="140142080"/>
        <c:crosses val="autoZero"/>
        <c:auto val="1"/>
        <c:lblAlgn val="ctr"/>
        <c:lblOffset val="100"/>
      </c:catAx>
      <c:valAx>
        <c:axId val="140142080"/>
        <c:scaling>
          <c:orientation val="minMax"/>
          <c:min val="0"/>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40119424"/>
        <c:crosses val="autoZero"/>
        <c:crossBetween val="between"/>
        <c:majorUnit val="10"/>
      </c:valAx>
    </c:plotArea>
    <c:legend>
      <c:legendPos val="b"/>
      <c:layout>
        <c:manualLayout>
          <c:xMode val="edge"/>
          <c:yMode val="edge"/>
          <c:x val="0.20301023991719591"/>
          <c:y val="0.80980726957995486"/>
          <c:w val="0.69172082362945109"/>
          <c:h val="0.18702097359442282"/>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title>
      <c:tx>
        <c:rich>
          <a:bodyPr anchor="t" anchorCtr="1"/>
          <a:lstStyle/>
          <a:p>
            <a:pPr>
              <a:defRPr sz="1000" baseline="0"/>
            </a:pPr>
            <a:r>
              <a:rPr lang="en-AU" sz="1000" baseline="0"/>
              <a:t>Percentage in bands:</a:t>
            </a:r>
          </a:p>
          <a:p>
            <a:pPr>
              <a:defRPr sz="1000" baseline="0"/>
            </a:pPr>
            <a:r>
              <a:rPr lang="en-AU" sz="1000" baseline="0"/>
              <a:t>Year 5 Numeracy</a:t>
            </a:r>
          </a:p>
        </c:rich>
      </c:tx>
      <c:spPr>
        <a:ln w="0"/>
      </c:spPr>
    </c:title>
    <c:plotArea>
      <c:layout>
        <c:manualLayout>
          <c:layoutTarget val="inner"/>
          <c:xMode val="edge"/>
          <c:yMode val="edge"/>
          <c:x val="0.20106736918392779"/>
          <c:y val="0.15769320247953494"/>
          <c:w val="0.77078564444594533"/>
          <c:h val="0.53550321036297199"/>
        </c:manualLayout>
      </c:layout>
      <c:barChart>
        <c:barDir val="col"/>
        <c:grouping val="clustered"/>
        <c:ser>
          <c:idx val="0"/>
          <c:order val="0"/>
          <c:tx>
            <c:strRef>
              <c:f>'Tables and Graphs'!$BU$10:$BW$10</c:f>
              <c:strCache>
                <c:ptCount val="1"/>
                <c:pt idx="0">
                  <c:v>Percentage in Band</c:v>
                </c:pt>
              </c:strCache>
            </c:strRef>
          </c:tx>
          <c:spPr>
            <a:solidFill>
              <a:schemeClr val="accent2">
                <a:lumMod val="60000"/>
                <a:lumOff val="40000"/>
              </a:schemeClr>
            </a:solidFill>
            <a:ln>
              <a:solidFill>
                <a:sysClr val="windowText" lastClr="000000"/>
              </a:solidFill>
            </a:ln>
          </c:spPr>
          <c:cat>
            <c:numRef>
              <c:f>'Tables and Graphs'!$BX$8:$CC$8</c:f>
              <c:numCache>
                <c:formatCode>General</c:formatCode>
                <c:ptCount val="6"/>
                <c:pt idx="0">
                  <c:v>3</c:v>
                </c:pt>
                <c:pt idx="1">
                  <c:v>4</c:v>
                </c:pt>
                <c:pt idx="2">
                  <c:v>5</c:v>
                </c:pt>
                <c:pt idx="3">
                  <c:v>6</c:v>
                </c:pt>
                <c:pt idx="4">
                  <c:v>7</c:v>
                </c:pt>
                <c:pt idx="5">
                  <c:v>8</c:v>
                </c:pt>
              </c:numCache>
            </c:numRef>
          </c:cat>
          <c:val>
            <c:numRef>
              <c:f>'Tables and Graphs'!$BX$14:$CC$14</c:f>
              <c:numCache>
                <c:formatCode>0.0</c:formatCode>
                <c:ptCount val="6"/>
                <c:pt idx="0">
                  <c:v>5</c:v>
                </c:pt>
                <c:pt idx="1">
                  <c:v>15</c:v>
                </c:pt>
                <c:pt idx="2">
                  <c:v>27.500000000000004</c:v>
                </c:pt>
                <c:pt idx="3">
                  <c:v>27.500000000000004</c:v>
                </c:pt>
                <c:pt idx="4">
                  <c:v>10</c:v>
                </c:pt>
                <c:pt idx="5">
                  <c:v>15</c:v>
                </c:pt>
              </c:numCache>
            </c:numRef>
          </c:val>
        </c:ser>
        <c:ser>
          <c:idx val="1"/>
          <c:order val="1"/>
          <c:tx>
            <c:strRef>
              <c:f>'Tables and Graphs'!$BU$11:$BW$11</c:f>
              <c:strCache>
                <c:ptCount val="1"/>
                <c:pt idx="0">
                  <c:v>School Average 2008-2011</c:v>
                </c:pt>
              </c:strCache>
            </c:strRef>
          </c:tx>
          <c:spPr>
            <a:solidFill>
              <a:schemeClr val="accent4">
                <a:lumMod val="60000"/>
                <a:lumOff val="40000"/>
              </a:schemeClr>
            </a:solidFill>
            <a:ln>
              <a:solidFill>
                <a:sysClr val="windowText" lastClr="000000"/>
              </a:solidFill>
            </a:ln>
          </c:spPr>
          <c:cat>
            <c:numRef>
              <c:f>'Tables and Graphs'!$BX$8:$CC$8</c:f>
              <c:numCache>
                <c:formatCode>General</c:formatCode>
                <c:ptCount val="6"/>
                <c:pt idx="0">
                  <c:v>3</c:v>
                </c:pt>
                <c:pt idx="1">
                  <c:v>4</c:v>
                </c:pt>
                <c:pt idx="2">
                  <c:v>5</c:v>
                </c:pt>
                <c:pt idx="3">
                  <c:v>6</c:v>
                </c:pt>
                <c:pt idx="4">
                  <c:v>7</c:v>
                </c:pt>
                <c:pt idx="5">
                  <c:v>8</c:v>
                </c:pt>
              </c:numCache>
            </c:numRef>
          </c:cat>
          <c:val>
            <c:numRef>
              <c:f>'Tables and Graphs'!$BX$15:$CC$15</c:f>
              <c:numCache>
                <c:formatCode>0.0</c:formatCode>
                <c:ptCount val="6"/>
                <c:pt idx="0">
                  <c:v>5.6737588652482271</c:v>
                </c:pt>
                <c:pt idx="1">
                  <c:v>13.475177304964539</c:v>
                </c:pt>
                <c:pt idx="2">
                  <c:v>33.333333333333329</c:v>
                </c:pt>
                <c:pt idx="3">
                  <c:v>23.404255319148938</c:v>
                </c:pt>
                <c:pt idx="4">
                  <c:v>14.184397163120511</c:v>
                </c:pt>
                <c:pt idx="5">
                  <c:v>9.9290780141844017</c:v>
                </c:pt>
              </c:numCache>
            </c:numRef>
          </c:val>
        </c:ser>
        <c:ser>
          <c:idx val="2"/>
          <c:order val="2"/>
          <c:tx>
            <c:strRef>
              <c:f>'Tables and Graphs'!$BU$12:$BW$12</c:f>
              <c:strCache>
                <c:ptCount val="1"/>
                <c:pt idx="0">
                  <c:v>SSG % in Band 2011</c:v>
                </c:pt>
              </c:strCache>
            </c:strRef>
          </c:tx>
          <c:spPr>
            <a:solidFill>
              <a:schemeClr val="accent3">
                <a:lumMod val="60000"/>
                <a:lumOff val="40000"/>
              </a:schemeClr>
            </a:solidFill>
            <a:ln>
              <a:solidFill>
                <a:sysClr val="windowText" lastClr="000000"/>
              </a:solidFill>
            </a:ln>
          </c:spPr>
          <c:cat>
            <c:numRef>
              <c:f>'Tables and Graphs'!$BX$8:$CC$8</c:f>
              <c:numCache>
                <c:formatCode>General</c:formatCode>
                <c:ptCount val="6"/>
                <c:pt idx="0">
                  <c:v>3</c:v>
                </c:pt>
                <c:pt idx="1">
                  <c:v>4</c:v>
                </c:pt>
                <c:pt idx="2">
                  <c:v>5</c:v>
                </c:pt>
                <c:pt idx="3">
                  <c:v>6</c:v>
                </c:pt>
                <c:pt idx="4">
                  <c:v>7</c:v>
                </c:pt>
                <c:pt idx="5">
                  <c:v>8</c:v>
                </c:pt>
              </c:numCache>
            </c:numRef>
          </c:cat>
          <c:val>
            <c:numRef>
              <c:f>'Tables and Graphs'!$BX$12:$CC$12</c:f>
              <c:numCache>
                <c:formatCode>0.0</c:formatCode>
                <c:ptCount val="6"/>
                <c:pt idx="0">
                  <c:v>2.8</c:v>
                </c:pt>
                <c:pt idx="1">
                  <c:v>9</c:v>
                </c:pt>
                <c:pt idx="2">
                  <c:v>26.6</c:v>
                </c:pt>
                <c:pt idx="3">
                  <c:v>27.6</c:v>
                </c:pt>
                <c:pt idx="4">
                  <c:v>15.3</c:v>
                </c:pt>
                <c:pt idx="5">
                  <c:v>18.8</c:v>
                </c:pt>
              </c:numCache>
            </c:numRef>
          </c:val>
        </c:ser>
        <c:ser>
          <c:idx val="3"/>
          <c:order val="3"/>
          <c:tx>
            <c:strRef>
              <c:f>'Tables and Graphs'!$BU$13:$BW$13</c:f>
              <c:strCache>
                <c:ptCount val="1"/>
                <c:pt idx="0">
                  <c:v>State DEC % in Band 2011</c:v>
                </c:pt>
              </c:strCache>
            </c:strRef>
          </c:tx>
          <c:spPr>
            <a:solidFill>
              <a:schemeClr val="tx2">
                <a:lumMod val="40000"/>
                <a:lumOff val="60000"/>
              </a:schemeClr>
            </a:solidFill>
            <a:ln>
              <a:solidFill>
                <a:sysClr val="windowText" lastClr="000000"/>
              </a:solidFill>
            </a:ln>
          </c:spPr>
          <c:cat>
            <c:numRef>
              <c:f>'Tables and Graphs'!$BX$8:$CC$8</c:f>
              <c:numCache>
                <c:formatCode>General</c:formatCode>
                <c:ptCount val="6"/>
                <c:pt idx="0">
                  <c:v>3</c:v>
                </c:pt>
                <c:pt idx="1">
                  <c:v>4</c:v>
                </c:pt>
                <c:pt idx="2">
                  <c:v>5</c:v>
                </c:pt>
                <c:pt idx="3">
                  <c:v>6</c:v>
                </c:pt>
                <c:pt idx="4">
                  <c:v>7</c:v>
                </c:pt>
                <c:pt idx="5">
                  <c:v>8</c:v>
                </c:pt>
              </c:numCache>
            </c:numRef>
          </c:cat>
          <c:val>
            <c:numRef>
              <c:f>'Tables and Graphs'!$BX$13:$CC$13</c:f>
              <c:numCache>
                <c:formatCode>0.0</c:formatCode>
                <c:ptCount val="6"/>
                <c:pt idx="0">
                  <c:v>5</c:v>
                </c:pt>
                <c:pt idx="1">
                  <c:v>11.3</c:v>
                </c:pt>
                <c:pt idx="2">
                  <c:v>28.8</c:v>
                </c:pt>
                <c:pt idx="3">
                  <c:v>27.6</c:v>
                </c:pt>
                <c:pt idx="4">
                  <c:v>12.4</c:v>
                </c:pt>
                <c:pt idx="5">
                  <c:v>14.8</c:v>
                </c:pt>
              </c:numCache>
            </c:numRef>
          </c:val>
        </c:ser>
        <c:axId val="144367616"/>
        <c:axId val="144369536"/>
      </c:barChart>
      <c:catAx>
        <c:axId val="144367616"/>
        <c:scaling>
          <c:orientation val="minMax"/>
        </c:scaling>
        <c:axPos val="b"/>
        <c:title>
          <c:tx>
            <c:rich>
              <a:bodyPr/>
              <a:lstStyle/>
              <a:p>
                <a:pPr>
                  <a:defRPr/>
                </a:pPr>
                <a:r>
                  <a:rPr lang="en-AU"/>
                  <a:t>Bands</a:t>
                </a:r>
              </a:p>
            </c:rich>
          </c:tx>
          <c:layout>
            <c:manualLayout>
              <c:xMode val="edge"/>
              <c:yMode val="edge"/>
              <c:x val="0.452480128372582"/>
              <c:y val="0.76098005700069871"/>
            </c:manualLayout>
          </c:layout>
        </c:title>
        <c:numFmt formatCode="General" sourceLinked="1"/>
        <c:tickLblPos val="nextTo"/>
        <c:txPr>
          <a:bodyPr/>
          <a:lstStyle/>
          <a:p>
            <a:pPr>
              <a:defRPr b="0"/>
            </a:pPr>
            <a:endParaRPr lang="en-US"/>
          </a:p>
        </c:txPr>
        <c:crossAx val="144369536"/>
        <c:crosses val="autoZero"/>
        <c:auto val="1"/>
        <c:lblAlgn val="ctr"/>
        <c:lblOffset val="100"/>
      </c:catAx>
      <c:valAx>
        <c:axId val="144369536"/>
        <c:scaling>
          <c:orientation val="minMax"/>
          <c:min val="0"/>
        </c:scaling>
        <c:axPos val="l"/>
        <c:majorGridlines/>
        <c:title>
          <c:tx>
            <c:rich>
              <a:bodyPr rot="-5400000" vert="horz"/>
              <a:lstStyle/>
              <a:p>
                <a:pPr>
                  <a:defRPr/>
                </a:pPr>
                <a:r>
                  <a:rPr lang="en-AU"/>
                  <a:t>Percentage</a:t>
                </a:r>
                <a:r>
                  <a:rPr lang="en-AU" baseline="0"/>
                  <a:t> of students</a:t>
                </a:r>
                <a:endParaRPr lang="en-AU"/>
              </a:p>
            </c:rich>
          </c:tx>
        </c:title>
        <c:numFmt formatCode="0" sourceLinked="0"/>
        <c:tickLblPos val="nextTo"/>
        <c:txPr>
          <a:bodyPr/>
          <a:lstStyle/>
          <a:p>
            <a:pPr>
              <a:defRPr b="0"/>
            </a:pPr>
            <a:endParaRPr lang="en-US"/>
          </a:p>
        </c:txPr>
        <c:crossAx val="144367616"/>
        <c:crosses val="autoZero"/>
        <c:crossBetween val="between"/>
        <c:majorUnit val="10"/>
      </c:valAx>
    </c:plotArea>
    <c:legend>
      <c:legendPos val="b"/>
      <c:layout>
        <c:manualLayout>
          <c:xMode val="edge"/>
          <c:yMode val="edge"/>
          <c:x val="0.20301041359039354"/>
          <c:y val="0.81730385038345033"/>
          <c:w val="0.68780227074519695"/>
          <c:h val="0.1806778830784749"/>
        </c:manualLayout>
      </c:layout>
      <c:txPr>
        <a:bodyPr/>
        <a:lstStyle/>
        <a:p>
          <a:pPr>
            <a:defRPr sz="900" b="0" baseline="0"/>
          </a:pPr>
          <a:endParaRPr lang="en-US"/>
        </a:p>
      </c:txPr>
    </c:legend>
    <c:plotVisOnly val="1"/>
    <c:dispBlanksAs val="gap"/>
  </c:chart>
  <c:spPr>
    <a:ln>
      <a:solidFill>
        <a:schemeClr val="bg1">
          <a:lumMod val="50000"/>
        </a:schemeClr>
      </a:solid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F7E965A22E4EAF909D7A1A747E0875"/>
        <w:category>
          <w:name w:val="General"/>
          <w:gallery w:val="placeholder"/>
        </w:category>
        <w:types>
          <w:type w:val="bbPlcHdr"/>
        </w:types>
        <w:behaviors>
          <w:behavior w:val="content"/>
        </w:behaviors>
        <w:guid w:val="{A8712332-2929-415A-BCB6-65B5A70C3299}"/>
      </w:docPartPr>
      <w:docPartBody>
        <w:p w:rsidR="00F97C1A" w:rsidRDefault="001B7277" w:rsidP="001B7277">
          <w:pPr>
            <w:pStyle w:val="F7F7E965A22E4EAF909D7A1A747E0875"/>
          </w:pPr>
          <w:r w:rsidRPr="00A025CB">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Neue Light">
    <w:altName w:val="Corbel"/>
    <w:charset w:val="00"/>
    <w:family w:val="auto"/>
    <w:pitch w:val="variable"/>
    <w:sig w:usb0="00000003" w:usb1="00000000" w:usb2="00000000" w:usb3="00000000" w:csb0="00000001" w:csb1="00000000"/>
  </w:font>
  <w:font w:name="Helvetica Neue UltraLight">
    <w:altName w:val="Tekton Pro Cond"/>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B7277"/>
    <w:rsid w:val="00020A8E"/>
    <w:rsid w:val="0010365D"/>
    <w:rsid w:val="001B7277"/>
    <w:rsid w:val="003426D5"/>
    <w:rsid w:val="00380D36"/>
    <w:rsid w:val="00542A84"/>
    <w:rsid w:val="005B7926"/>
    <w:rsid w:val="00740555"/>
    <w:rsid w:val="00A04B08"/>
    <w:rsid w:val="00AA77BE"/>
    <w:rsid w:val="00B53ABB"/>
    <w:rsid w:val="00C602CF"/>
    <w:rsid w:val="00DF3569"/>
    <w:rsid w:val="00F616A0"/>
    <w:rsid w:val="00F97C1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7277"/>
    <w:rPr>
      <w:color w:val="808080"/>
    </w:rPr>
  </w:style>
  <w:style w:type="paragraph" w:customStyle="1" w:styleId="F7F7E965A22E4EAF909D7A1A747E0875">
    <w:name w:val="F7F7E965A22E4EAF909D7A1A747E0875"/>
    <w:rsid w:val="001B727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ABE3A-00E2-4279-A0E2-9D8496F3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17</Pages>
  <Words>5761</Words>
  <Characters>32841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sjohnston40</dc:creator>
  <cp:keywords/>
  <dc:description/>
  <cp:lastModifiedBy>Staff User</cp:lastModifiedBy>
  <cp:revision>93</cp:revision>
  <cp:lastPrinted>2012-04-10T01:45:00Z</cp:lastPrinted>
  <dcterms:created xsi:type="dcterms:W3CDTF">2012-01-27T04:20:00Z</dcterms:created>
  <dcterms:modified xsi:type="dcterms:W3CDTF">2012-04-11T00:21:00Z</dcterms:modified>
</cp:coreProperties>
</file>